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900A7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  <w:u w:val="none"/>
        </w:rPr>
      </w:pPr>
      <w:r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  <w:u w:val="none"/>
        </w:rPr>
        <w:t>养马岛旅游景区通行提质优化管理实施方案</w:t>
      </w:r>
    </w:p>
    <w:p w14:paraId="56D60B0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after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Cs/>
          <w:color w:val="auto"/>
          <w:sz w:val="32"/>
          <w:szCs w:val="32"/>
          <w:u w:val="none"/>
        </w:rPr>
      </w:pPr>
    </w:p>
    <w:p w14:paraId="425BD885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黑体" w:hAnsi="黑体" w:eastAsia="黑体" w:cs="黑体"/>
          <w:bCs/>
          <w:color w:val="auto"/>
          <w:sz w:val="32"/>
          <w:szCs w:val="32"/>
          <w:u w:val="none"/>
        </w:rPr>
      </w:pPr>
      <w:r>
        <w:rPr>
          <w:rFonts w:hint="eastAsia" w:ascii="黑体" w:hAnsi="黑体" w:eastAsia="黑体" w:cs="黑体"/>
          <w:bCs/>
          <w:color w:val="auto"/>
          <w:sz w:val="32"/>
          <w:szCs w:val="32"/>
          <w:u w:val="none"/>
        </w:rPr>
        <w:t>一、实施背景</w:t>
      </w:r>
    </w:p>
    <w:p w14:paraId="2A291B5F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after="0" w:line="560" w:lineRule="exact"/>
        <w:ind w:firstLine="627" w:firstLineChars="196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</w:rPr>
        <w:t>2023年，养马岛旅游景区游客接待量创历史新高，全年接待游客596万人次，高峰单日达到8万人次，进出岛机动车达到3.5万辆次。鉴于养马岛旅游景区道路交通承载能力有限，为避免交通拥堵，提升游客体验感，拟对养马岛旅游景区提质管理。依据《中华人民共和国道路交通安全法》、《山东省风景名胜区条例》及其他相关法律、法规、规章规定，制定本草案。</w:t>
      </w:r>
    </w:p>
    <w:p w14:paraId="50887138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after="0" w:line="560" w:lineRule="exact"/>
        <w:ind w:firstLine="640" w:firstLineChars="200"/>
        <w:textAlignment w:val="auto"/>
        <w:rPr>
          <w:rFonts w:ascii="Times New Roman" w:hAnsi="Times New Roman" w:eastAsia="黑体" w:cs="Times New Roman"/>
          <w:bCs/>
          <w:color w:val="auto"/>
          <w:sz w:val="32"/>
          <w:szCs w:val="32"/>
          <w:u w:val="none"/>
        </w:rPr>
      </w:pPr>
      <w:bookmarkStart w:id="0" w:name="_Toc20789"/>
      <w:bookmarkStart w:id="1" w:name="_Toc3748"/>
      <w:bookmarkStart w:id="2" w:name="_Toc23681"/>
      <w:bookmarkStart w:id="3" w:name="_Toc29503"/>
      <w:bookmarkStart w:id="4" w:name="_Toc2323"/>
      <w:bookmarkStart w:id="5" w:name="_Toc25265"/>
      <w:bookmarkStart w:id="6" w:name="_Toc15370"/>
      <w:bookmarkStart w:id="7" w:name="_Toc3095"/>
      <w:r>
        <w:rPr>
          <w:rFonts w:ascii="Times New Roman" w:hAnsi="Times New Roman" w:eastAsia="黑体" w:cs="Times New Roman"/>
          <w:bCs/>
          <w:color w:val="auto"/>
          <w:sz w:val="32"/>
          <w:szCs w:val="32"/>
          <w:u w:val="none"/>
        </w:rPr>
        <w:t>二、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>
        <w:rPr>
          <w:rFonts w:ascii="Times New Roman" w:hAnsi="Times New Roman" w:eastAsia="黑体" w:cs="Times New Roman"/>
          <w:bCs/>
          <w:color w:val="auto"/>
          <w:sz w:val="32"/>
          <w:szCs w:val="32"/>
          <w:u w:val="none"/>
        </w:rPr>
        <w:t>总体方案</w:t>
      </w:r>
    </w:p>
    <w:p w14:paraId="4B443A67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  <w:t>（一）</w:t>
      </w:r>
      <w:r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  <w:t>实施原则</w:t>
      </w:r>
    </w:p>
    <w:p w14:paraId="423FCB5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全岛施行旅游旺季景区化封闭管理，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旅游旺季限制游客自驾车进岛。</w:t>
      </w:r>
    </w:p>
    <w:p w14:paraId="7F1C836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  <w:t>（二）</w:t>
      </w:r>
      <w:r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  <w:t>交通管制时间</w:t>
      </w:r>
    </w:p>
    <w:p w14:paraId="1F037D2C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1.后海景区：4月15日－10月15日期间24小时实行交通管制。</w:t>
      </w:r>
    </w:p>
    <w:p w14:paraId="27C78FB6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2.前海景区：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4月15日－10月15日期间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8:00-20:00实行交通管制。</w:t>
      </w:r>
    </w:p>
    <w:p w14:paraId="7611D11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3.其他时间段全岛开放运行。</w:t>
      </w:r>
    </w:p>
    <w:p w14:paraId="039FD88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  <w:t>（三）</w:t>
      </w:r>
      <w:r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  <w:t>预约授权进岛车辆</w:t>
      </w:r>
    </w:p>
    <w:p w14:paraId="3B43503B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岛内居民、党政机关、企事业单位、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经营商户车辆，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出租车（含合法备案的网约车）等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进入景区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需办理长期进岛车辆通行电子授权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（车牌号录入识别系统），以满足日常生活、生产、工作需要。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在景区内预定宾馆、酒店、民宿、渔家乐的游客车辆、景区内居民婚丧喜庆、企事业单位办事车辆、岛内居民亲属车辆等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按规定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办理临时进岛通行电子授权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（车牌号录入识别系统，时限到期后电子授权自动失效）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进岛。</w:t>
      </w:r>
    </w:p>
    <w:p w14:paraId="6D4B4ADE"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  <w:t>直接进岛车辆</w:t>
      </w:r>
    </w:p>
    <w:p w14:paraId="7C514EA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实施抢险、消防、运钞、医疗救护、警务、环卫、工程施工、海鲜货运等特种车辆可以直接进入景区。</w:t>
      </w:r>
    </w:p>
    <w:p w14:paraId="24E54F3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after="0" w:line="560" w:lineRule="exact"/>
        <w:ind w:firstLine="640" w:firstLineChars="200"/>
        <w:textAlignment w:val="auto"/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  <w:t>（五）</w:t>
      </w:r>
      <w:r>
        <w:rPr>
          <w:rFonts w:ascii="Times New Roman" w:hAnsi="Times New Roman" w:eastAsia="楷体_GB2312" w:cs="Times New Roman"/>
          <w:color w:val="auto"/>
          <w:sz w:val="32"/>
          <w:szCs w:val="32"/>
          <w:u w:val="none"/>
        </w:rPr>
        <w:t>岛外停放车辆</w:t>
      </w:r>
    </w:p>
    <w:p w14:paraId="2B630701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after="0" w:line="560" w:lineRule="exact"/>
        <w:ind w:firstLine="627" w:firstLineChars="196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无预约授权的车辆统一停放在B岛停车场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，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景区提供接驳车、环岛观光车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、出租车（含合法备案的网约车）、常规公交车、电动自行车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等多种入岛交通工具</w:t>
      </w: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，游客可按需选择适合的出行方式。</w:t>
      </w:r>
    </w:p>
    <w:p w14:paraId="3192B960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firstLine="640" w:firstLineChars="200"/>
        <w:rPr>
          <w:rFonts w:ascii="Times New Roman" w:hAnsi="Times New Roman" w:eastAsia="黑体" w:cs="Times New Roman"/>
          <w:sz w:val="32"/>
          <w:szCs w:val="32"/>
          <w:u w:val="none"/>
        </w:rPr>
      </w:pPr>
      <w:r>
        <w:rPr>
          <w:rFonts w:hint="eastAsia" w:ascii="Times New Roman" w:hAnsi="Times New Roman" w:eastAsia="黑体" w:cs="Times New Roman"/>
          <w:sz w:val="32"/>
          <w:szCs w:val="32"/>
          <w:u w:val="none"/>
          <w:lang w:val="en-US" w:eastAsia="zh-CN"/>
        </w:rPr>
        <w:t>三</w:t>
      </w:r>
      <w:r>
        <w:rPr>
          <w:rFonts w:ascii="Times New Roman" w:hAnsi="Times New Roman" w:eastAsia="黑体" w:cs="Times New Roman"/>
          <w:sz w:val="32"/>
          <w:szCs w:val="32"/>
          <w:u w:val="none"/>
        </w:rPr>
        <w:t>、应急措施</w:t>
      </w:r>
    </w:p>
    <w:p w14:paraId="2700663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ascii="Times New Roman" w:hAnsi="Times New Roman" w:eastAsia="仿宋_GB2312"/>
          <w:color w:val="000000"/>
          <w:sz w:val="32"/>
          <w:szCs w:val="32"/>
          <w:u w:val="none"/>
        </w:rPr>
      </w:pP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景区设立应急领导小组，制定应急预案，以应对突发情况。</w:t>
      </w:r>
    </w:p>
    <w:p w14:paraId="16EA922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ascii="Times New Roman" w:hAnsi="Times New Roman" w:eastAsia="仿宋_GB2312"/>
          <w:color w:val="000000"/>
          <w:sz w:val="32"/>
          <w:szCs w:val="32"/>
          <w:u w:val="none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1.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完善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基础设施，保障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旅游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安全。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对步行栈道增设安全防护栏、防护网，在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险要路段、游客密集处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设置明显的安全标识牌、警示牌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。</w:t>
      </w:r>
    </w:p>
    <w:p w14:paraId="02715C5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0" w:beforeAutospacing="0" w:after="0" w:afterAutospacing="0" w:line="560" w:lineRule="exact"/>
        <w:jc w:val="both"/>
        <w:textAlignment w:val="baseline"/>
        <w:rPr>
          <w:rFonts w:ascii="Times New Roman" w:hAnsi="Times New Roman" w:eastAsia="仿宋_GB2312"/>
          <w:color w:val="000000"/>
          <w:sz w:val="32"/>
          <w:szCs w:val="32"/>
          <w:u w:val="none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 xml:space="preserve">    2.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增强工作力量，维护交通秩序。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“五一”“十一”等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重大节假日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以及旅游旺季期间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，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组织相关部门增派力量，维护旅游交通秩序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，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与派出所、卫生所、消防部门等单位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时刻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保持联系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。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设立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应急</w:t>
      </w:r>
      <w:r>
        <w:rPr>
          <w:rFonts w:ascii="Times New Roman" w:hAnsi="Times New Roman" w:eastAsia="仿宋_GB2312"/>
          <w:color w:val="000000"/>
          <w:sz w:val="32"/>
          <w:szCs w:val="32"/>
          <w:u w:val="none"/>
        </w:rPr>
        <w:t>救援小组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，提高应急处突能力</w:t>
      </w:r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，确保一旦</w:t>
      </w:r>
      <w:bookmarkStart w:id="8" w:name="_GoBack"/>
      <w:bookmarkEnd w:id="8"/>
      <w:r>
        <w:rPr>
          <w:rFonts w:hint="eastAsia" w:ascii="Times New Roman" w:hAnsi="Times New Roman" w:eastAsia="仿宋_GB2312"/>
          <w:color w:val="000000"/>
          <w:sz w:val="32"/>
          <w:szCs w:val="32"/>
          <w:u w:val="none"/>
        </w:rPr>
        <w:t>发生问题，第一时间落实解决。</w:t>
      </w:r>
    </w:p>
    <w:p w14:paraId="5EE8049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  <w:u w:val="none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</w:rPr>
        <w:t>3.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</w:rPr>
        <w:t>监测舆情风险，化解旅游投诉。实时监测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涉</w:t>
      </w:r>
      <w:r>
        <w:rPr>
          <w:rFonts w:hint="eastAsia" w:ascii="Times New Roman" w:hAnsi="Times New Roman" w:eastAsia="仿宋_GB2312" w:cs="Times New Roman"/>
          <w:sz w:val="32"/>
          <w:szCs w:val="32"/>
          <w:u w:val="none"/>
        </w:rPr>
        <w:t>及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养马岛的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舆情风险</w:t>
      </w:r>
      <w:r>
        <w:rPr>
          <w:rFonts w:hint="eastAsia" w:ascii="Times New Roman" w:hAnsi="Times New Roman" w:eastAsia="仿宋_GB2312" w:cs="Times New Roman"/>
          <w:sz w:val="32"/>
          <w:szCs w:val="32"/>
          <w:u w:val="none"/>
        </w:rPr>
        <w:t>，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及时上报</w:t>
      </w:r>
      <w:r>
        <w:rPr>
          <w:rFonts w:hint="eastAsia" w:ascii="Times New Roman" w:hAnsi="Times New Roman" w:eastAsia="仿宋_GB2312" w:cs="Times New Roman"/>
          <w:sz w:val="32"/>
          <w:szCs w:val="32"/>
          <w:u w:val="none"/>
        </w:rPr>
        <w:t>发现的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舆情风险点，对</w:t>
      </w:r>
      <w:r>
        <w:rPr>
          <w:rFonts w:hint="eastAsia" w:ascii="Times New Roman" w:hAnsi="Times New Roman" w:eastAsia="仿宋_GB2312" w:cs="Times New Roman"/>
          <w:sz w:val="32"/>
          <w:szCs w:val="32"/>
          <w:u w:val="none"/>
        </w:rPr>
        <w:t>上级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反馈的舆情事件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按要求第一时间整改处理。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安排专人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解答游客的旅游投诉问题，并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对接相关部门</w:t>
      </w:r>
      <w:r>
        <w:rPr>
          <w:rFonts w:ascii="Times New Roman" w:hAnsi="Times New Roman" w:eastAsia="仿宋_GB2312" w:cs="Times New Roman"/>
          <w:sz w:val="32"/>
          <w:szCs w:val="32"/>
          <w:u w:val="none"/>
        </w:rPr>
        <w:t>及时解决。</w:t>
      </w:r>
    </w:p>
    <w:p w14:paraId="734431FD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</w:pPr>
    </w:p>
    <w:p w14:paraId="7AF924A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u w:val="none"/>
        </w:rPr>
        <w:t>附件：养马岛旅游景区通行提质优化管理实施方案保障总图</w:t>
      </w:r>
    </w:p>
    <w:p w14:paraId="6A925DE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0FE8949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74227BB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6E19184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334F18D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5DAA686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2CB7E9A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562FDF4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11729F5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019DBB0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22A36B5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134623F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49CDD20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31AF52B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1DBFF1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6CAACEE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6B093E1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68ACD35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  <w:sectPr>
          <w:pgSz w:w="11906" w:h="16838"/>
          <w:pgMar w:top="2098" w:right="1531" w:bottom="1984" w:left="1531" w:header="851" w:footer="992" w:gutter="0"/>
          <w:cols w:space="425" w:num="1"/>
          <w:docGrid w:type="lines" w:linePitch="312" w:charSpace="0"/>
        </w:sectPr>
      </w:pPr>
    </w:p>
    <w:p w14:paraId="772883D5">
      <w:pPr>
        <w:pStyle w:val="6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</w:p>
    <w:p w14:paraId="26C77BF7">
      <w:pPr>
        <w:pStyle w:val="6"/>
        <w:jc w:val="center"/>
        <w:rPr>
          <w:rFonts w:ascii="方正小标宋简体" w:hAnsi="方正小标宋简体" w:eastAsia="方正小标宋简体" w:cs="方正小标宋简体"/>
          <w:color w:val="auto"/>
          <w:sz w:val="36"/>
          <w:szCs w:val="36"/>
        </w:rPr>
      </w:pPr>
      <w:r>
        <w:rPr>
          <w:rFonts w:hint="eastAsia" w:ascii="黑体" w:hAnsi="黑体" w:eastAsia="黑体" w:cs="黑体"/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360045</wp:posOffset>
            </wp:positionV>
            <wp:extent cx="7772400" cy="5204460"/>
            <wp:effectExtent l="0" t="0" r="0" b="2540"/>
            <wp:wrapNone/>
            <wp:docPr id="5" name="图片 2" descr="171290204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712902040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养马岛旅游景区通行提质优化管理实施方案保障总图</w:t>
      </w:r>
    </w:p>
    <w:p w14:paraId="6A4F8D0B">
      <w:pPr>
        <w:pStyle w:val="6"/>
        <w:rPr>
          <w:rFonts w:ascii="黑体" w:hAnsi="黑体" w:eastAsia="黑体" w:cs="黑体"/>
          <w:color w:val="auto"/>
          <w:sz w:val="32"/>
          <w:szCs w:val="32"/>
        </w:rPr>
      </w:pPr>
    </w:p>
    <w:p w14:paraId="7A92E0CD">
      <w:pPr>
        <w:pStyle w:val="6"/>
        <w:rPr>
          <w:rFonts w:ascii="黑体" w:hAnsi="黑体" w:eastAsia="黑体" w:cs="黑体"/>
          <w:color w:val="auto"/>
          <w:sz w:val="32"/>
          <w:szCs w:val="32"/>
        </w:rPr>
      </w:pPr>
    </w:p>
    <w:p w14:paraId="7D1F99B3">
      <w:pPr>
        <w:pStyle w:val="6"/>
        <w:rPr>
          <w:rFonts w:ascii="黑体" w:hAnsi="黑体" w:eastAsia="黑体" w:cs="黑体"/>
          <w:color w:val="auto"/>
          <w:sz w:val="32"/>
          <w:szCs w:val="32"/>
        </w:rPr>
      </w:pPr>
    </w:p>
    <w:p w14:paraId="6A8E5338">
      <w:pPr>
        <w:pStyle w:val="6"/>
        <w:rPr>
          <w:rFonts w:ascii="黑体" w:hAnsi="黑体" w:eastAsia="黑体" w:cs="黑体"/>
          <w:color w:val="auto"/>
          <w:sz w:val="32"/>
          <w:szCs w:val="32"/>
        </w:rPr>
      </w:pPr>
    </w:p>
    <w:p w14:paraId="43B533C8">
      <w:pPr>
        <w:pStyle w:val="6"/>
        <w:rPr>
          <w:rFonts w:ascii="黑体" w:hAnsi="黑体" w:eastAsia="黑体" w:cs="黑体"/>
          <w:color w:val="auto"/>
          <w:sz w:val="32"/>
          <w:szCs w:val="32"/>
        </w:rPr>
      </w:pPr>
    </w:p>
    <w:p w14:paraId="30C2C8EA">
      <w:pPr>
        <w:pStyle w:val="6"/>
        <w:rPr>
          <w:rFonts w:ascii="黑体" w:hAnsi="黑体" w:eastAsia="黑体" w:cs="黑体"/>
          <w:color w:val="auto"/>
          <w:sz w:val="32"/>
          <w:szCs w:val="32"/>
        </w:rPr>
      </w:pPr>
    </w:p>
    <w:p w14:paraId="5161AB35">
      <w:pPr>
        <w:pStyle w:val="6"/>
        <w:rPr>
          <w:rFonts w:ascii="黑体" w:hAnsi="黑体" w:eastAsia="黑体" w:cs="黑体"/>
          <w:color w:val="auto"/>
          <w:sz w:val="32"/>
          <w:szCs w:val="32"/>
        </w:rPr>
      </w:pPr>
    </w:p>
    <w:p w14:paraId="4A2B43A3">
      <w:pPr>
        <w:pStyle w:val="6"/>
        <w:rPr>
          <w:rFonts w:ascii="黑体" w:hAnsi="黑体" w:eastAsia="黑体" w:cs="黑体"/>
          <w:color w:val="auto"/>
          <w:sz w:val="32"/>
          <w:szCs w:val="32"/>
        </w:rPr>
      </w:pPr>
    </w:p>
    <w:p w14:paraId="6BBAC79C">
      <w:pPr>
        <w:pStyle w:val="6"/>
        <w:rPr>
          <w:rFonts w:ascii="黑体" w:hAnsi="黑体" w:eastAsia="黑体" w:cs="黑体"/>
          <w:color w:val="auto"/>
          <w:sz w:val="32"/>
          <w:szCs w:val="32"/>
        </w:rPr>
        <w:sectPr>
          <w:footerReference r:id="rId3" w:type="default"/>
          <w:pgSz w:w="16838" w:h="11906" w:orient="landscape"/>
          <w:pgMar w:top="1134" w:right="1417" w:bottom="1134" w:left="1417" w:header="851" w:footer="992" w:gutter="0"/>
          <w:cols w:space="720" w:num="1"/>
          <w:docGrid w:type="lines" w:linePitch="315" w:charSpace="0"/>
        </w:sectPr>
      </w:pPr>
    </w:p>
    <w:p w14:paraId="1C61C9D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sectPr>
      <w:pgSz w:w="16838" w:h="11906" w:orient="landscape"/>
      <w:pgMar w:top="1531" w:right="2098" w:bottom="1531" w:left="1984" w:header="851" w:footer="992" w:gutter="0"/>
      <w:paperSrc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E6BD4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09EEDF">
                          <w:pPr>
                            <w:pStyle w:val="2"/>
                            <w:rPr>
                              <w:rFonts w:ascii="仿宋" w:hAnsi="仿宋" w:eastAsia="仿宋" w:cs="仿宋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 w:cs="仿宋"/>
                              <w:szCs w:val="28"/>
                            </w:rPr>
                            <w:t>8</w:t>
                          </w:r>
                          <w:r>
                            <w:rPr>
                              <w:rFonts w:hint="eastAsia" w:ascii="仿宋" w:hAnsi="仿宋" w:eastAsia="仿宋" w:cs="仿宋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Ju61xD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109EEDF">
                    <w:pPr>
                      <w:pStyle w:val="2"/>
                      <w:rPr>
                        <w:rFonts w:ascii="仿宋" w:hAnsi="仿宋" w:eastAsia="仿宋" w:cs="仿宋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Cs w:val="28"/>
                      </w:rPr>
                      <w:fldChar w:fldCharType="separate"/>
                    </w:r>
                    <w:r>
                      <w:rPr>
                        <w:rFonts w:ascii="仿宋" w:hAnsi="仿宋" w:eastAsia="仿宋" w:cs="仿宋"/>
                        <w:szCs w:val="28"/>
                      </w:rPr>
                      <w:t>8</w:t>
                    </w:r>
                    <w:r>
                      <w:rPr>
                        <w:rFonts w:hint="eastAsia" w:ascii="仿宋" w:hAnsi="仿宋" w:eastAsia="仿宋" w:cs="仿宋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D522E4"/>
    <w:multiLevelType w:val="singleLevel"/>
    <w:tmpl w:val="25D522E4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hMTNiMzJiODQ5MDMyYjk1YTRlMTlkNDAwOTQ4MDAifQ=="/>
  </w:docVars>
  <w:rsids>
    <w:rsidRoot w:val="682D7171"/>
    <w:rsid w:val="682D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sz w:val="2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customStyle="1" w:styleId="6">
    <w:name w:val="Default"/>
    <w:basedOn w:val="7"/>
    <w:autoRedefine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7">
    <w:name w:val="正文 New"/>
    <w:next w:val="8"/>
    <w:autoRedefine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customStyle="1" w:styleId="8">
    <w:name w:val="目录 1 New"/>
    <w:basedOn w:val="7"/>
    <w:next w:val="7"/>
    <w:autoRedefine/>
    <w:qFormat/>
    <w:uiPriority w:val="0"/>
    <w:pPr>
      <w:spacing w:line="660" w:lineRule="exact"/>
      <w:ind w:firstLine="705"/>
    </w:pPr>
    <w:rPr>
      <w:rFonts w:ascii="仿宋_GB2312" w:eastAsia="仿宋_GB2312" w:cs="Times New Roman"/>
      <w:color w:val="00000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2024-07-19T08:37:00Z</dcterms:created>
  <dc:creator>zoey</dc:creator>
  <cp:lastModifiedBy>zoey</cp:lastModifiedBy>
  <dcterms:modified xsi:type="dcterms:W3CDTF">2024-07-19T08:42:22Z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F3442F2BB26249FA857E8C100145ED21_11</vt:lpwstr>
  </property>
</Properties>
</file>