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600" w:lineRule="atLeast"/>
        <w:jc w:val="center"/>
        <w:rPr>
          <w:rFonts w:ascii="宋体" w:hAnsi="宋体" w:eastAsia="宋体" w:cs="宋体"/>
          <w:color w:val="000000"/>
          <w:sz w:val="21"/>
          <w:szCs w:val="21"/>
        </w:rPr>
      </w:pPr>
      <w:r>
        <w:rPr>
          <w:rFonts w:ascii="方正小标宋_GBK" w:hAnsi="方正小标宋_GBK" w:eastAsia="方正小标宋_GBK" w:cs="方正小标宋_GBK"/>
          <w:sz w:val="44"/>
          <w:szCs w:val="44"/>
          <w:shd w:val="clear" w:color="auto" w:fill="FFFFFF"/>
        </w:rPr>
        <w:t>统计领域基层政务公开标准指引</w:t>
      </w:r>
    </w:p>
    <w:p>
      <w:pPr>
        <w:pStyle w:val="2"/>
        <w:widowControl/>
        <w:shd w:val="clear" w:color="auto" w:fill="FFFFFF"/>
        <w:spacing w:beforeAutospacing="0" w:afterAutospacing="0" w:line="600" w:lineRule="atLeast"/>
        <w:ind w:firstLine="640"/>
        <w:jc w:val="both"/>
        <w:rPr>
          <w:rFonts w:ascii="宋体" w:hAnsi="宋体" w:eastAsia="宋体" w:cs="宋体"/>
          <w:color w:val="000000"/>
          <w:sz w:val="21"/>
          <w:szCs w:val="21"/>
        </w:rPr>
      </w:pPr>
      <w:bookmarkStart w:id="0" w:name="_GoBack"/>
      <w:bookmarkEnd w:id="0"/>
    </w:p>
    <w:p>
      <w:pPr>
        <w:pStyle w:val="2"/>
        <w:widowControl/>
        <w:shd w:val="clear" w:color="auto" w:fill="FFFFFF"/>
        <w:spacing w:beforeAutospacing="0" w:afterAutospacing="0" w:line="600" w:lineRule="atLeast"/>
        <w:ind w:firstLine="640"/>
        <w:jc w:val="both"/>
        <w:rPr>
          <w:rFonts w:ascii="宋体" w:hAnsi="宋体" w:eastAsia="宋体" w:cs="宋体"/>
          <w:color w:val="000000"/>
          <w:sz w:val="21"/>
          <w:szCs w:val="21"/>
        </w:rPr>
      </w:pPr>
      <w:r>
        <w:rPr>
          <w:rFonts w:hint="eastAsia" w:ascii="仿宋_GB2312" w:hAnsi="宋体" w:eastAsia="仿宋_GB2312" w:cs="仿宋_GB2312"/>
          <w:sz w:val="32"/>
          <w:szCs w:val="32"/>
          <w:shd w:val="clear" w:color="auto" w:fill="FFFFFF"/>
        </w:rPr>
        <w:t>为全面贯彻党中央、国务院关于全面推进政务公开的重要部署，深入落实《中华人民共和国政府信息公开条例》和《国务院办公厅关于全面推进基层政务公开标准化规范化工作的指导意见》（国办发〔2019〕54号）有关要求，切实推进统计领域基层政务公开标准化规范化，进一步加大统计信息公开力度，推进统计公开透明，制定本指引。</w:t>
      </w:r>
    </w:p>
    <w:p>
      <w:pPr>
        <w:pStyle w:val="2"/>
        <w:widowControl/>
        <w:shd w:val="clear" w:color="auto" w:fill="FFFFFF"/>
        <w:spacing w:beforeAutospacing="0" w:afterAutospacing="0" w:line="600" w:lineRule="atLeast"/>
        <w:ind w:firstLine="640"/>
        <w:jc w:val="both"/>
        <w:rPr>
          <w:rFonts w:ascii="宋体" w:hAnsi="宋体" w:eastAsia="宋体" w:cs="宋体"/>
          <w:color w:val="000000"/>
          <w:sz w:val="21"/>
          <w:szCs w:val="21"/>
        </w:rPr>
      </w:pPr>
      <w:r>
        <w:rPr>
          <w:rFonts w:ascii="黑体" w:hAnsi="宋体" w:eastAsia="黑体" w:cs="黑体"/>
          <w:sz w:val="32"/>
          <w:szCs w:val="32"/>
          <w:shd w:val="clear" w:color="auto" w:fill="FFFFFF"/>
        </w:rPr>
        <w:t>一、总体要求</w:t>
      </w:r>
    </w:p>
    <w:p>
      <w:pPr>
        <w:pStyle w:val="2"/>
        <w:widowControl/>
        <w:shd w:val="clear" w:color="auto" w:fill="FFFFFF"/>
        <w:spacing w:beforeAutospacing="0" w:afterAutospacing="0" w:line="600" w:lineRule="atLeast"/>
        <w:ind w:firstLine="640"/>
        <w:jc w:val="both"/>
        <w:rPr>
          <w:rFonts w:ascii="宋体" w:hAnsi="宋体" w:eastAsia="宋体" w:cs="宋体"/>
          <w:color w:val="000000"/>
          <w:sz w:val="21"/>
          <w:szCs w:val="21"/>
        </w:rPr>
      </w:pPr>
      <w:r>
        <w:rPr>
          <w:rFonts w:hint="eastAsia" w:ascii="仿宋_GB2312" w:hAnsi="宋体" w:eastAsia="仿宋_GB2312" w:cs="仿宋_GB2312"/>
          <w:sz w:val="32"/>
          <w:szCs w:val="32"/>
          <w:shd w:val="clear" w:color="auto" w:fill="FFFFFF"/>
        </w:rPr>
        <w:t>以习近平新时代中国特色社会主义思想为指导，全面贯彻党中央、国务院决策部署，认真落实基层政务公开标准化规范化工作要求，围绕决策、执行、管理、服务、结果公开，紧扣新时代统计工作新特点新要求，积极推进统计领域基层政务公开标准化规范化。实现统计领域基层政务公开内容覆盖行政权力运行全流程、政务服务全过程，全面提升统计部门政务公开和政务服务水平。</w:t>
      </w:r>
    </w:p>
    <w:p>
      <w:pPr>
        <w:pStyle w:val="2"/>
        <w:widowControl/>
        <w:shd w:val="clear" w:color="auto" w:fill="FFFFFF"/>
        <w:spacing w:beforeAutospacing="0" w:afterAutospacing="0" w:line="600" w:lineRule="atLeast"/>
        <w:ind w:firstLine="640"/>
        <w:jc w:val="both"/>
        <w:rPr>
          <w:rFonts w:ascii="宋体" w:hAnsi="宋体" w:eastAsia="宋体" w:cs="宋体"/>
          <w:color w:val="000000"/>
          <w:sz w:val="21"/>
          <w:szCs w:val="21"/>
        </w:rPr>
      </w:pPr>
      <w:r>
        <w:rPr>
          <w:rFonts w:hint="eastAsia" w:ascii="黑体" w:hAnsi="宋体" w:eastAsia="黑体" w:cs="黑体"/>
          <w:sz w:val="32"/>
          <w:szCs w:val="32"/>
          <w:shd w:val="clear" w:color="auto" w:fill="FFFFFF"/>
        </w:rPr>
        <w:t>二、适用范围</w:t>
      </w:r>
    </w:p>
    <w:p>
      <w:pPr>
        <w:pStyle w:val="2"/>
        <w:widowControl/>
        <w:shd w:val="clear" w:color="auto" w:fill="FFFFFF"/>
        <w:spacing w:beforeAutospacing="0" w:afterAutospacing="0" w:line="600" w:lineRule="atLeast"/>
        <w:ind w:firstLine="640"/>
        <w:jc w:val="both"/>
        <w:rPr>
          <w:rFonts w:ascii="宋体" w:hAnsi="宋体" w:eastAsia="宋体" w:cs="宋体"/>
          <w:color w:val="000000"/>
          <w:sz w:val="21"/>
          <w:szCs w:val="21"/>
        </w:rPr>
      </w:pPr>
      <w:r>
        <w:rPr>
          <w:rFonts w:hint="eastAsia" w:ascii="仿宋_GB2312" w:hAnsi="宋体" w:eastAsia="仿宋_GB2312" w:cs="仿宋_GB2312"/>
          <w:sz w:val="32"/>
          <w:szCs w:val="32"/>
          <w:shd w:val="clear" w:color="auto" w:fill="FFFFFF"/>
        </w:rPr>
        <w:t>本指引适用范围为县级统计机构。</w:t>
      </w:r>
    </w:p>
    <w:p>
      <w:pPr>
        <w:pStyle w:val="2"/>
        <w:widowControl/>
        <w:shd w:val="clear" w:color="auto" w:fill="FFFFFF"/>
        <w:spacing w:beforeAutospacing="0" w:afterAutospacing="0" w:line="600" w:lineRule="atLeast"/>
        <w:ind w:firstLine="640"/>
        <w:jc w:val="both"/>
        <w:rPr>
          <w:rFonts w:ascii="宋体" w:hAnsi="宋体" w:eastAsia="宋体" w:cs="宋体"/>
          <w:color w:val="000000"/>
          <w:sz w:val="21"/>
          <w:szCs w:val="21"/>
        </w:rPr>
      </w:pPr>
      <w:r>
        <w:rPr>
          <w:rFonts w:hint="eastAsia" w:ascii="黑体" w:hAnsi="宋体" w:eastAsia="黑体" w:cs="黑体"/>
          <w:sz w:val="32"/>
          <w:szCs w:val="32"/>
          <w:shd w:val="clear" w:color="auto" w:fill="FFFFFF"/>
        </w:rPr>
        <w:t>三、公开目录及事项标准</w:t>
      </w:r>
    </w:p>
    <w:p>
      <w:pPr>
        <w:pStyle w:val="2"/>
        <w:widowControl/>
        <w:shd w:val="clear" w:color="auto" w:fill="FFFFFF"/>
        <w:spacing w:beforeAutospacing="0" w:afterAutospacing="0" w:line="600" w:lineRule="atLeast"/>
        <w:ind w:firstLine="640"/>
        <w:jc w:val="both"/>
        <w:rPr>
          <w:rFonts w:ascii="宋体" w:hAnsi="宋体" w:eastAsia="宋体" w:cs="宋体"/>
          <w:color w:val="000000"/>
          <w:sz w:val="21"/>
          <w:szCs w:val="21"/>
        </w:rPr>
      </w:pPr>
      <w:r>
        <w:rPr>
          <w:rFonts w:hint="eastAsia" w:ascii="仿宋_GB2312" w:hAnsi="宋体" w:eastAsia="仿宋_GB2312" w:cs="仿宋_GB2312"/>
          <w:sz w:val="32"/>
          <w:szCs w:val="32"/>
          <w:shd w:val="clear" w:color="auto" w:fill="FFFFFF"/>
        </w:rPr>
        <w:t>统计领域基层政务公开标准目录包含统计法律规范、统计调查制度、统计数据、统计执法监督等4类一级事项9类二级事项。涉及公开内容（要素）、公开依据、公开时限、公开主体、公开渠道和载体、公开对象、公开方式和公开层级等标准。各县级统计机构可根据本地区实际情况，适当进行调整和完善。</w:t>
      </w:r>
    </w:p>
    <w:p>
      <w:pPr>
        <w:pStyle w:val="2"/>
        <w:widowControl/>
        <w:shd w:val="clear" w:color="auto" w:fill="FFFFFF"/>
        <w:spacing w:beforeAutospacing="0" w:afterAutospacing="0" w:line="600" w:lineRule="atLeast"/>
        <w:ind w:firstLine="640"/>
        <w:jc w:val="both"/>
        <w:rPr>
          <w:rFonts w:ascii="宋体" w:hAnsi="宋体" w:eastAsia="宋体" w:cs="宋体"/>
          <w:color w:val="000000"/>
          <w:sz w:val="21"/>
          <w:szCs w:val="21"/>
        </w:rPr>
      </w:pPr>
      <w:r>
        <w:rPr>
          <w:rFonts w:hint="eastAsia" w:ascii="黑体" w:hAnsi="宋体" w:eastAsia="黑体" w:cs="黑体"/>
          <w:sz w:val="32"/>
          <w:szCs w:val="32"/>
          <w:shd w:val="clear" w:color="auto" w:fill="FFFFFF"/>
        </w:rPr>
        <w:t>四、工作流程规范要求</w:t>
      </w:r>
    </w:p>
    <w:p>
      <w:pPr>
        <w:pStyle w:val="2"/>
        <w:widowControl/>
        <w:shd w:val="clear" w:color="auto" w:fill="FFFFFF"/>
        <w:spacing w:beforeAutospacing="0" w:afterAutospacing="0" w:line="600" w:lineRule="atLeast"/>
        <w:ind w:firstLine="640"/>
        <w:jc w:val="both"/>
        <w:rPr>
          <w:rFonts w:ascii="宋体" w:hAnsi="宋体" w:eastAsia="宋体" w:cs="宋体"/>
          <w:color w:val="000000"/>
          <w:sz w:val="21"/>
          <w:szCs w:val="21"/>
        </w:rPr>
      </w:pPr>
      <w:r>
        <w:rPr>
          <w:rFonts w:ascii="楷体_GB2312" w:hAnsi="宋体" w:eastAsia="楷体_GB2312" w:cs="楷体_GB2312"/>
          <w:color w:val="000000"/>
          <w:sz w:val="32"/>
          <w:szCs w:val="32"/>
          <w:shd w:val="clear" w:color="auto" w:fill="FFFFFF"/>
        </w:rPr>
        <w:t>（一）加强主动公开力度。</w:t>
      </w:r>
      <w:r>
        <w:rPr>
          <w:rFonts w:hint="eastAsia" w:ascii="仿宋_GB2312" w:hAnsi="宋体" w:eastAsia="仿宋_GB2312" w:cs="仿宋_GB2312"/>
          <w:sz w:val="32"/>
          <w:szCs w:val="32"/>
          <w:shd w:val="clear" w:color="auto" w:fill="FFFFFF"/>
        </w:rPr>
        <w:t>县级统计机构要立足基层工作实际，按照本指引明确的工作要求和目录内容，及时公开标准目录所列事项，主动拓宽公开范围、规范公开内容、创新公开方式，注重加强政策宣传解读、及时回应社会关切。加强对标准目录内容的日常维护和动态更新，结合新任务新要求，及时进行调整完善，做到各类渠道和载体公开的信息内容一致。</w:t>
      </w:r>
    </w:p>
    <w:p>
      <w:pPr>
        <w:pStyle w:val="2"/>
        <w:widowControl/>
        <w:shd w:val="clear" w:color="auto" w:fill="FFFFFF"/>
        <w:spacing w:beforeAutospacing="0" w:afterAutospacing="0" w:line="600" w:lineRule="atLeast"/>
        <w:ind w:firstLine="640"/>
        <w:jc w:val="both"/>
        <w:rPr>
          <w:rFonts w:ascii="宋体" w:hAnsi="宋体" w:eastAsia="宋体" w:cs="宋体"/>
          <w:color w:val="000000"/>
          <w:sz w:val="21"/>
          <w:szCs w:val="21"/>
        </w:rPr>
      </w:pPr>
      <w:r>
        <w:rPr>
          <w:rFonts w:ascii="楷体_GB2312" w:hAnsi="宋体" w:eastAsia="楷体_GB2312" w:cs="楷体_GB2312"/>
          <w:color w:val="000000"/>
          <w:sz w:val="32"/>
          <w:szCs w:val="32"/>
          <w:shd w:val="clear" w:color="auto" w:fill="FFFFFF"/>
        </w:rPr>
        <w:t>（二）完善信息发布流程。</w:t>
      </w:r>
      <w:r>
        <w:rPr>
          <w:rFonts w:hint="eastAsia" w:ascii="仿宋_GB2312" w:hAnsi="宋体" w:eastAsia="仿宋_GB2312" w:cs="仿宋_GB2312"/>
          <w:sz w:val="32"/>
          <w:szCs w:val="32"/>
          <w:shd w:val="clear" w:color="auto" w:fill="FFFFFF"/>
        </w:rPr>
        <w:t>加强信息公开属性源头管理，信息制作部门在信息生成同时要明确“主动公开”“依申请公开”或“不公开”等公开属性，公文主管部门要按程序做好审查，确保公开属性标注得当。严格落实公开前保密审查机制，妥善处理好公开与保密的关系。主动公开信息要按照工作要求和实际需要通过适当方式对外公开。</w:t>
      </w:r>
    </w:p>
    <w:p>
      <w:pPr>
        <w:pStyle w:val="2"/>
        <w:widowControl/>
        <w:shd w:val="clear" w:color="auto" w:fill="FFFFFF"/>
        <w:spacing w:beforeAutospacing="0" w:afterAutospacing="0" w:line="600" w:lineRule="atLeast"/>
        <w:ind w:firstLine="640"/>
        <w:jc w:val="both"/>
        <w:rPr>
          <w:rFonts w:ascii="宋体" w:hAnsi="宋体" w:eastAsia="宋体" w:cs="宋体"/>
          <w:color w:val="000000"/>
          <w:sz w:val="21"/>
          <w:szCs w:val="21"/>
        </w:rPr>
      </w:pPr>
      <w:r>
        <w:rPr>
          <w:rFonts w:ascii="楷体_GB2312" w:hAnsi="宋体" w:eastAsia="楷体_GB2312" w:cs="楷体_GB2312"/>
          <w:color w:val="000000"/>
          <w:sz w:val="32"/>
          <w:szCs w:val="32"/>
          <w:shd w:val="clear" w:color="auto" w:fill="FFFFFF"/>
        </w:rPr>
        <w:t>（三）优化公开渠道和载体。</w:t>
      </w:r>
      <w:r>
        <w:rPr>
          <w:rFonts w:hint="eastAsia" w:ascii="仿宋_GB2312" w:hAnsi="宋体" w:eastAsia="仿宋_GB2312" w:cs="仿宋_GB2312"/>
          <w:sz w:val="32"/>
          <w:szCs w:val="32"/>
          <w:shd w:val="clear" w:color="auto" w:fill="FFFFFF"/>
        </w:rPr>
        <w:t>在依托门户网站集中发布统计相关信息的同时，尝试通过多种渠道和载体发布信息。规范管理使用政务新媒体，提高宣传引导的针对性和有效性。结合基层工作实际和群众需求，用好宣传栏、查阅点等实体平台，便利人民群众获取和查阅信息。</w:t>
      </w:r>
    </w:p>
    <w:p>
      <w:pPr>
        <w:pStyle w:val="2"/>
        <w:widowControl/>
        <w:shd w:val="clear" w:color="auto" w:fill="FFFFFF"/>
        <w:spacing w:beforeAutospacing="0" w:afterAutospacing="0" w:line="600" w:lineRule="atLeast"/>
        <w:ind w:firstLine="640"/>
        <w:jc w:val="both"/>
        <w:rPr>
          <w:rFonts w:ascii="宋体" w:hAnsi="宋体" w:eastAsia="宋体" w:cs="宋体"/>
          <w:color w:val="000000"/>
          <w:sz w:val="21"/>
          <w:szCs w:val="21"/>
        </w:rPr>
      </w:pPr>
      <w:r>
        <w:rPr>
          <w:rFonts w:hint="eastAsia" w:ascii="黑体" w:hAnsi="宋体" w:eastAsia="黑体" w:cs="黑体"/>
          <w:sz w:val="32"/>
          <w:szCs w:val="32"/>
          <w:shd w:val="clear" w:color="auto" w:fill="FFFFFF"/>
        </w:rPr>
        <w:t>五、组织实施</w:t>
      </w:r>
    </w:p>
    <w:p>
      <w:pPr>
        <w:pStyle w:val="2"/>
        <w:widowControl/>
        <w:shd w:val="clear" w:color="auto" w:fill="FFFFFF"/>
        <w:spacing w:beforeAutospacing="0" w:afterAutospacing="0" w:line="600" w:lineRule="atLeast"/>
        <w:ind w:firstLine="640"/>
        <w:jc w:val="both"/>
        <w:rPr>
          <w:rFonts w:ascii="宋体" w:hAnsi="宋体" w:eastAsia="宋体" w:cs="宋体"/>
          <w:color w:val="000000"/>
          <w:sz w:val="21"/>
          <w:szCs w:val="21"/>
        </w:rPr>
      </w:pPr>
      <w:r>
        <w:rPr>
          <w:rFonts w:hint="eastAsia" w:ascii="仿宋_GB2312" w:hAnsi="宋体" w:eastAsia="仿宋_GB2312" w:cs="仿宋_GB2312"/>
          <w:sz w:val="32"/>
          <w:szCs w:val="32"/>
          <w:shd w:val="clear" w:color="auto" w:fill="FFFFFF"/>
        </w:rPr>
        <w:t>各级统计机构要加强对基层统计领域政务公开工作的组织领导，将公开标准化规范化作为本单位重点工作，建立健全政务公开工作组织领导机构，完善工作机制，强化组织保障，动态监督评估，统筹推进本地区统计领域基层政务公开标准化规范化工作。要加强调研指导，及时了解掌握本地区基层政务公开标准化规范化工作情况，积极协助解决实施过程中的问题。省级统计机构要注意收集本地区统计领域基层政务公开的有关意见，及时向国家统计局进行反馈。</w:t>
      </w:r>
    </w:p>
    <w:p>
      <w:pPr>
        <w:widowControl/>
        <w:shd w:val="clear" w:color="auto" w:fill="FFFFFF"/>
        <w:spacing w:before="210" w:after="210" w:line="600" w:lineRule="atLeast"/>
        <w:ind w:firstLine="640"/>
        <w:jc w:val="left"/>
        <w:rPr>
          <w:rFonts w:ascii="宋体" w:hAnsi="宋体" w:eastAsia="宋体" w:cs="宋体"/>
          <w:color w:val="000000"/>
          <w:szCs w:val="21"/>
        </w:rPr>
      </w:pPr>
      <w:r>
        <w:rPr>
          <w:rFonts w:hint="eastAsia" w:ascii="黑体" w:hAnsi="宋体" w:eastAsia="黑体" w:cs="黑体"/>
          <w:color w:val="000000"/>
          <w:kern w:val="0"/>
          <w:sz w:val="32"/>
          <w:szCs w:val="32"/>
          <w:shd w:val="clear" w:color="auto" w:fill="FFFFFF"/>
          <w:lang w:bidi="ar"/>
        </w:rPr>
        <w:t>六、其他事项</w:t>
      </w:r>
    </w:p>
    <w:p>
      <w:pPr>
        <w:widowControl/>
        <w:shd w:val="clear" w:color="auto" w:fill="FFFFFF"/>
        <w:spacing w:before="210" w:after="210" w:line="600" w:lineRule="atLeast"/>
        <w:ind w:firstLine="640"/>
        <w:rPr>
          <w:rFonts w:ascii="宋体" w:hAnsi="宋体" w:eastAsia="宋体" w:cs="宋体"/>
          <w:color w:val="000000"/>
          <w:szCs w:val="21"/>
        </w:rPr>
      </w:pPr>
      <w:r>
        <w:rPr>
          <w:rFonts w:hint="eastAsia" w:ascii="仿宋_GB2312" w:hAnsi="宋体" w:eastAsia="仿宋_GB2312" w:cs="仿宋_GB2312"/>
          <w:color w:val="000000"/>
          <w:kern w:val="0"/>
          <w:sz w:val="32"/>
          <w:szCs w:val="32"/>
          <w:shd w:val="clear" w:color="auto" w:fill="FFFFFF"/>
          <w:lang w:bidi="ar"/>
        </w:rPr>
        <w:t>本指引只针对统计领域对县级统计机构有普遍意义的政务公开标准提出要求，机构概况、人事信息、财务信息等其他领域的信息公开，已在《中华人民共和国政府信息公开条例》中作出规定或由相关部门单独制定标准指引，各级统计机构要按照相关规定及时纳入公开内容。</w:t>
      </w:r>
    </w:p>
    <w:p>
      <w:pPr>
        <w:pStyle w:val="2"/>
        <w:widowControl/>
        <w:shd w:val="clear" w:color="auto" w:fill="FFFFFF"/>
        <w:spacing w:beforeAutospacing="0" w:afterAutospacing="0" w:line="600" w:lineRule="atLeast"/>
        <w:ind w:firstLine="640"/>
        <w:jc w:val="both"/>
        <w:rPr>
          <w:rFonts w:ascii="仿宋_GB2312" w:hAnsi="宋体" w:eastAsia="仿宋_GB2312" w:cs="仿宋_GB2312"/>
          <w:sz w:val="32"/>
          <w:szCs w:val="32"/>
          <w:shd w:val="clear" w:color="auto" w:fill="FFFFFF"/>
        </w:rPr>
      </w:pPr>
      <w:r>
        <w:rPr>
          <w:rFonts w:hint="eastAsia" w:ascii="仿宋_GB2312" w:hAnsi="宋体" w:eastAsia="仿宋_GB2312" w:cs="仿宋_GB2312"/>
          <w:sz w:val="32"/>
          <w:szCs w:val="32"/>
          <w:shd w:val="clear" w:color="auto" w:fill="FFFFFF"/>
        </w:rPr>
        <w:t>本指引由国家统计局办公室负责解释。</w:t>
      </w:r>
    </w:p>
    <w:p>
      <w:pPr>
        <w:pStyle w:val="2"/>
        <w:widowControl/>
        <w:shd w:val="clear" w:color="auto" w:fill="FFFFFF"/>
        <w:spacing w:beforeAutospacing="0" w:afterAutospacing="0" w:line="600" w:lineRule="atLeast"/>
        <w:ind w:firstLine="640"/>
        <w:jc w:val="both"/>
        <w:rPr>
          <w:rFonts w:ascii="仿宋_GB2312" w:hAnsi="宋体" w:eastAsia="仿宋_GB2312" w:cs="仿宋_GB2312"/>
          <w:sz w:val="32"/>
          <w:szCs w:val="32"/>
          <w:shd w:val="clear" w:color="auto" w:fill="FFFFFF"/>
        </w:rPr>
      </w:pPr>
    </w:p>
    <w:p>
      <w:pPr>
        <w:pStyle w:val="2"/>
        <w:spacing w:beforeAutospacing="0" w:afterAutospacing="0"/>
        <w:ind w:firstLine="640" w:firstLineChars="200"/>
        <w:jc w:val="both"/>
        <w:rPr>
          <w:rFonts w:ascii="仿宋_GB2312" w:hAnsi="宋体" w:eastAsia="仿宋_GB2312" w:cs="仿宋_GB2312"/>
          <w:sz w:val="32"/>
          <w:szCs w:val="32"/>
          <w:shd w:val="clear" w:color="auto" w:fill="FFFFFF"/>
        </w:rPr>
      </w:pPr>
      <w:r>
        <w:rPr>
          <w:rFonts w:hint="eastAsia" w:ascii="仿宋_GB2312" w:hAnsi="宋体" w:eastAsia="仿宋_GB2312" w:cs="仿宋_GB2312"/>
          <w:sz w:val="32"/>
          <w:szCs w:val="32"/>
          <w:shd w:val="clear" w:color="auto" w:fill="FFFFFF"/>
        </w:rPr>
        <w:t>附件：统计领域基层政务公开标准目录</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45A"/>
    <w:rsid w:val="00001A3A"/>
    <w:rsid w:val="00002601"/>
    <w:rsid w:val="000042DE"/>
    <w:rsid w:val="00005F94"/>
    <w:rsid w:val="000135C4"/>
    <w:rsid w:val="00015788"/>
    <w:rsid w:val="00020F17"/>
    <w:rsid w:val="0002540F"/>
    <w:rsid w:val="00031988"/>
    <w:rsid w:val="0003271B"/>
    <w:rsid w:val="00040E73"/>
    <w:rsid w:val="00044D2F"/>
    <w:rsid w:val="00050EB4"/>
    <w:rsid w:val="0005173A"/>
    <w:rsid w:val="00053A6C"/>
    <w:rsid w:val="00054824"/>
    <w:rsid w:val="00056160"/>
    <w:rsid w:val="00057DD6"/>
    <w:rsid w:val="0006058A"/>
    <w:rsid w:val="0006412D"/>
    <w:rsid w:val="00065D1D"/>
    <w:rsid w:val="000702F5"/>
    <w:rsid w:val="00074472"/>
    <w:rsid w:val="00076C1F"/>
    <w:rsid w:val="00076FA9"/>
    <w:rsid w:val="00077246"/>
    <w:rsid w:val="00081B0E"/>
    <w:rsid w:val="00081D88"/>
    <w:rsid w:val="00083E7E"/>
    <w:rsid w:val="00084B01"/>
    <w:rsid w:val="00090A39"/>
    <w:rsid w:val="00091FD8"/>
    <w:rsid w:val="00097F2F"/>
    <w:rsid w:val="000A2C90"/>
    <w:rsid w:val="000A57FD"/>
    <w:rsid w:val="000B08C4"/>
    <w:rsid w:val="000B13E8"/>
    <w:rsid w:val="000B19F4"/>
    <w:rsid w:val="000B2250"/>
    <w:rsid w:val="000C0837"/>
    <w:rsid w:val="000C0F78"/>
    <w:rsid w:val="000C124B"/>
    <w:rsid w:val="000C7F6F"/>
    <w:rsid w:val="000E3358"/>
    <w:rsid w:val="000E777C"/>
    <w:rsid w:val="000F7D1B"/>
    <w:rsid w:val="001011CF"/>
    <w:rsid w:val="00102812"/>
    <w:rsid w:val="00103ABF"/>
    <w:rsid w:val="001049DC"/>
    <w:rsid w:val="00105E4B"/>
    <w:rsid w:val="0011031A"/>
    <w:rsid w:val="0011417B"/>
    <w:rsid w:val="00117714"/>
    <w:rsid w:val="00117E9E"/>
    <w:rsid w:val="0012437F"/>
    <w:rsid w:val="001306F3"/>
    <w:rsid w:val="001349A8"/>
    <w:rsid w:val="00135C77"/>
    <w:rsid w:val="00137D45"/>
    <w:rsid w:val="001419C3"/>
    <w:rsid w:val="00143CE8"/>
    <w:rsid w:val="001449A5"/>
    <w:rsid w:val="0015468E"/>
    <w:rsid w:val="0015563F"/>
    <w:rsid w:val="00170B3D"/>
    <w:rsid w:val="00173D9B"/>
    <w:rsid w:val="00174A4D"/>
    <w:rsid w:val="0017798E"/>
    <w:rsid w:val="0018251C"/>
    <w:rsid w:val="0018567B"/>
    <w:rsid w:val="00191BE0"/>
    <w:rsid w:val="00196AE3"/>
    <w:rsid w:val="001A6AF2"/>
    <w:rsid w:val="001B0E5C"/>
    <w:rsid w:val="001B0F85"/>
    <w:rsid w:val="001B486F"/>
    <w:rsid w:val="001B4B01"/>
    <w:rsid w:val="001B7814"/>
    <w:rsid w:val="001C0A71"/>
    <w:rsid w:val="001C2DBC"/>
    <w:rsid w:val="001C333D"/>
    <w:rsid w:val="001C6A2E"/>
    <w:rsid w:val="001D7A45"/>
    <w:rsid w:val="001E1344"/>
    <w:rsid w:val="001E2441"/>
    <w:rsid w:val="001E3702"/>
    <w:rsid w:val="001E53CD"/>
    <w:rsid w:val="001F2233"/>
    <w:rsid w:val="001F3EF9"/>
    <w:rsid w:val="00202B64"/>
    <w:rsid w:val="00202E5E"/>
    <w:rsid w:val="0020663E"/>
    <w:rsid w:val="00213F68"/>
    <w:rsid w:val="002152D5"/>
    <w:rsid w:val="00222888"/>
    <w:rsid w:val="002240B4"/>
    <w:rsid w:val="00234E8F"/>
    <w:rsid w:val="002363DA"/>
    <w:rsid w:val="00241D6E"/>
    <w:rsid w:val="0025085A"/>
    <w:rsid w:val="0025103F"/>
    <w:rsid w:val="00251B7F"/>
    <w:rsid w:val="00265532"/>
    <w:rsid w:val="0027581E"/>
    <w:rsid w:val="00280CED"/>
    <w:rsid w:val="0028173E"/>
    <w:rsid w:val="002849EA"/>
    <w:rsid w:val="002908D2"/>
    <w:rsid w:val="002A6843"/>
    <w:rsid w:val="002B0333"/>
    <w:rsid w:val="002B20E3"/>
    <w:rsid w:val="002C0AA3"/>
    <w:rsid w:val="002C2D26"/>
    <w:rsid w:val="002C2F0F"/>
    <w:rsid w:val="002D75E1"/>
    <w:rsid w:val="002E0198"/>
    <w:rsid w:val="002E2F8F"/>
    <w:rsid w:val="002E4607"/>
    <w:rsid w:val="002E7230"/>
    <w:rsid w:val="002E7D79"/>
    <w:rsid w:val="002F31DB"/>
    <w:rsid w:val="002F51B6"/>
    <w:rsid w:val="00305AC7"/>
    <w:rsid w:val="00316DA7"/>
    <w:rsid w:val="00320865"/>
    <w:rsid w:val="003214E0"/>
    <w:rsid w:val="00323122"/>
    <w:rsid w:val="00324520"/>
    <w:rsid w:val="00325A35"/>
    <w:rsid w:val="00325CE4"/>
    <w:rsid w:val="00333E8F"/>
    <w:rsid w:val="00336338"/>
    <w:rsid w:val="003416DF"/>
    <w:rsid w:val="00343037"/>
    <w:rsid w:val="003443EB"/>
    <w:rsid w:val="0034558B"/>
    <w:rsid w:val="003475C1"/>
    <w:rsid w:val="003501EB"/>
    <w:rsid w:val="00353859"/>
    <w:rsid w:val="003538A0"/>
    <w:rsid w:val="00353FF2"/>
    <w:rsid w:val="003625A0"/>
    <w:rsid w:val="00364D6B"/>
    <w:rsid w:val="003650F0"/>
    <w:rsid w:val="003757F3"/>
    <w:rsid w:val="003776E5"/>
    <w:rsid w:val="003816E7"/>
    <w:rsid w:val="00383075"/>
    <w:rsid w:val="00384034"/>
    <w:rsid w:val="00387712"/>
    <w:rsid w:val="00392CF3"/>
    <w:rsid w:val="00396812"/>
    <w:rsid w:val="003A0750"/>
    <w:rsid w:val="003A1960"/>
    <w:rsid w:val="003A5DBC"/>
    <w:rsid w:val="003A7411"/>
    <w:rsid w:val="003A760F"/>
    <w:rsid w:val="003B05AA"/>
    <w:rsid w:val="003B0899"/>
    <w:rsid w:val="003B3073"/>
    <w:rsid w:val="003B7793"/>
    <w:rsid w:val="003C35FE"/>
    <w:rsid w:val="003C5762"/>
    <w:rsid w:val="003D24EB"/>
    <w:rsid w:val="003D31F6"/>
    <w:rsid w:val="003D6E32"/>
    <w:rsid w:val="003F125C"/>
    <w:rsid w:val="003F15B4"/>
    <w:rsid w:val="003F1EAA"/>
    <w:rsid w:val="003F75E0"/>
    <w:rsid w:val="003F7A2B"/>
    <w:rsid w:val="0040536C"/>
    <w:rsid w:val="004130A2"/>
    <w:rsid w:val="004209AC"/>
    <w:rsid w:val="00420BA6"/>
    <w:rsid w:val="004229EE"/>
    <w:rsid w:val="00424D01"/>
    <w:rsid w:val="004251AB"/>
    <w:rsid w:val="004312A1"/>
    <w:rsid w:val="00433181"/>
    <w:rsid w:val="00434382"/>
    <w:rsid w:val="00442199"/>
    <w:rsid w:val="004432A7"/>
    <w:rsid w:val="0044791A"/>
    <w:rsid w:val="00447A65"/>
    <w:rsid w:val="004557EF"/>
    <w:rsid w:val="00463E69"/>
    <w:rsid w:val="00464455"/>
    <w:rsid w:val="00466642"/>
    <w:rsid w:val="00467FE3"/>
    <w:rsid w:val="0047151D"/>
    <w:rsid w:val="00473D12"/>
    <w:rsid w:val="00473DB3"/>
    <w:rsid w:val="0047445B"/>
    <w:rsid w:val="0047626F"/>
    <w:rsid w:val="00481995"/>
    <w:rsid w:val="004850B3"/>
    <w:rsid w:val="0049237C"/>
    <w:rsid w:val="0049782C"/>
    <w:rsid w:val="00497920"/>
    <w:rsid w:val="004A1023"/>
    <w:rsid w:val="004A3F99"/>
    <w:rsid w:val="004B068B"/>
    <w:rsid w:val="004B4E1D"/>
    <w:rsid w:val="004C16A9"/>
    <w:rsid w:val="004C1951"/>
    <w:rsid w:val="004C4470"/>
    <w:rsid w:val="004C4488"/>
    <w:rsid w:val="004D0A1A"/>
    <w:rsid w:val="004D18D7"/>
    <w:rsid w:val="004D2317"/>
    <w:rsid w:val="004D3DE7"/>
    <w:rsid w:val="004D53D8"/>
    <w:rsid w:val="004D64BF"/>
    <w:rsid w:val="004E2F4C"/>
    <w:rsid w:val="004F1F05"/>
    <w:rsid w:val="004F27CA"/>
    <w:rsid w:val="005068A7"/>
    <w:rsid w:val="00507516"/>
    <w:rsid w:val="00512ACB"/>
    <w:rsid w:val="0051447A"/>
    <w:rsid w:val="005217CC"/>
    <w:rsid w:val="00523296"/>
    <w:rsid w:val="00524A9C"/>
    <w:rsid w:val="00546A63"/>
    <w:rsid w:val="005537B7"/>
    <w:rsid w:val="005611EB"/>
    <w:rsid w:val="0056366B"/>
    <w:rsid w:val="00571859"/>
    <w:rsid w:val="00573A02"/>
    <w:rsid w:val="005771DA"/>
    <w:rsid w:val="0057740E"/>
    <w:rsid w:val="005777AC"/>
    <w:rsid w:val="0058601C"/>
    <w:rsid w:val="00587510"/>
    <w:rsid w:val="00594852"/>
    <w:rsid w:val="005A28BF"/>
    <w:rsid w:val="005A63D0"/>
    <w:rsid w:val="005B320E"/>
    <w:rsid w:val="005C206B"/>
    <w:rsid w:val="005C765D"/>
    <w:rsid w:val="005C7EF4"/>
    <w:rsid w:val="005D17A7"/>
    <w:rsid w:val="005D2558"/>
    <w:rsid w:val="005D3266"/>
    <w:rsid w:val="005D5E98"/>
    <w:rsid w:val="005E085A"/>
    <w:rsid w:val="005E3A8D"/>
    <w:rsid w:val="005E6381"/>
    <w:rsid w:val="005E7BC1"/>
    <w:rsid w:val="005F0F73"/>
    <w:rsid w:val="005F5231"/>
    <w:rsid w:val="0060143E"/>
    <w:rsid w:val="00601830"/>
    <w:rsid w:val="00603BE4"/>
    <w:rsid w:val="00607CBD"/>
    <w:rsid w:val="0061279D"/>
    <w:rsid w:val="006127E9"/>
    <w:rsid w:val="00613EAD"/>
    <w:rsid w:val="00614413"/>
    <w:rsid w:val="00617F83"/>
    <w:rsid w:val="006241FE"/>
    <w:rsid w:val="006273EB"/>
    <w:rsid w:val="00627A86"/>
    <w:rsid w:val="00627B9D"/>
    <w:rsid w:val="00627E7C"/>
    <w:rsid w:val="00632498"/>
    <w:rsid w:val="006340A9"/>
    <w:rsid w:val="0063587D"/>
    <w:rsid w:val="00642B88"/>
    <w:rsid w:val="00667712"/>
    <w:rsid w:val="00672BB8"/>
    <w:rsid w:val="006776D8"/>
    <w:rsid w:val="00682E65"/>
    <w:rsid w:val="0068434C"/>
    <w:rsid w:val="0068492A"/>
    <w:rsid w:val="00691559"/>
    <w:rsid w:val="00696D46"/>
    <w:rsid w:val="00697D18"/>
    <w:rsid w:val="006A18C5"/>
    <w:rsid w:val="006A48C5"/>
    <w:rsid w:val="006A48DC"/>
    <w:rsid w:val="006A5CA6"/>
    <w:rsid w:val="006B0F08"/>
    <w:rsid w:val="006B351D"/>
    <w:rsid w:val="006B41D1"/>
    <w:rsid w:val="006B56F3"/>
    <w:rsid w:val="006B771D"/>
    <w:rsid w:val="006C2C52"/>
    <w:rsid w:val="006D1CDC"/>
    <w:rsid w:val="006D2104"/>
    <w:rsid w:val="006D708B"/>
    <w:rsid w:val="006E751F"/>
    <w:rsid w:val="006F0507"/>
    <w:rsid w:val="006F10A3"/>
    <w:rsid w:val="006F68CB"/>
    <w:rsid w:val="00700AF6"/>
    <w:rsid w:val="00701B18"/>
    <w:rsid w:val="007072A1"/>
    <w:rsid w:val="0071174B"/>
    <w:rsid w:val="00712D3E"/>
    <w:rsid w:val="007165EC"/>
    <w:rsid w:val="00722845"/>
    <w:rsid w:val="00726529"/>
    <w:rsid w:val="007364BF"/>
    <w:rsid w:val="007371AB"/>
    <w:rsid w:val="0073753F"/>
    <w:rsid w:val="00737E67"/>
    <w:rsid w:val="007566BB"/>
    <w:rsid w:val="00763307"/>
    <w:rsid w:val="00763BFE"/>
    <w:rsid w:val="007667B9"/>
    <w:rsid w:val="00767094"/>
    <w:rsid w:val="0077445A"/>
    <w:rsid w:val="00775550"/>
    <w:rsid w:val="007808C3"/>
    <w:rsid w:val="007821F1"/>
    <w:rsid w:val="00792F14"/>
    <w:rsid w:val="00794C59"/>
    <w:rsid w:val="007A5546"/>
    <w:rsid w:val="007A598C"/>
    <w:rsid w:val="007B1DDB"/>
    <w:rsid w:val="007B301D"/>
    <w:rsid w:val="007B61EF"/>
    <w:rsid w:val="007B7AA9"/>
    <w:rsid w:val="007C62AF"/>
    <w:rsid w:val="007D1C00"/>
    <w:rsid w:val="007D1DE9"/>
    <w:rsid w:val="007D4ED0"/>
    <w:rsid w:val="007E0897"/>
    <w:rsid w:val="007E3477"/>
    <w:rsid w:val="007F2D42"/>
    <w:rsid w:val="007F3902"/>
    <w:rsid w:val="007F4A1D"/>
    <w:rsid w:val="007F5673"/>
    <w:rsid w:val="007F6B10"/>
    <w:rsid w:val="007F6D9A"/>
    <w:rsid w:val="0080060D"/>
    <w:rsid w:val="00801A6A"/>
    <w:rsid w:val="00802567"/>
    <w:rsid w:val="00811B85"/>
    <w:rsid w:val="00814776"/>
    <w:rsid w:val="00817FD1"/>
    <w:rsid w:val="00821555"/>
    <w:rsid w:val="00825CD2"/>
    <w:rsid w:val="00827153"/>
    <w:rsid w:val="00827210"/>
    <w:rsid w:val="00831F99"/>
    <w:rsid w:val="00842DA5"/>
    <w:rsid w:val="00845F3D"/>
    <w:rsid w:val="00847529"/>
    <w:rsid w:val="00851305"/>
    <w:rsid w:val="00853D62"/>
    <w:rsid w:val="00862A33"/>
    <w:rsid w:val="00867A5E"/>
    <w:rsid w:val="00870DF0"/>
    <w:rsid w:val="008729E5"/>
    <w:rsid w:val="00874CFC"/>
    <w:rsid w:val="0087742C"/>
    <w:rsid w:val="0088206B"/>
    <w:rsid w:val="008831A7"/>
    <w:rsid w:val="00883EA5"/>
    <w:rsid w:val="00892686"/>
    <w:rsid w:val="008964E5"/>
    <w:rsid w:val="008A065A"/>
    <w:rsid w:val="008A2F07"/>
    <w:rsid w:val="008A781D"/>
    <w:rsid w:val="008A799C"/>
    <w:rsid w:val="008B4D63"/>
    <w:rsid w:val="008B6D72"/>
    <w:rsid w:val="008B79D3"/>
    <w:rsid w:val="008C37EB"/>
    <w:rsid w:val="008C71D2"/>
    <w:rsid w:val="008D2F6C"/>
    <w:rsid w:val="008D4EF4"/>
    <w:rsid w:val="008D5B74"/>
    <w:rsid w:val="008E1B39"/>
    <w:rsid w:val="008F18AF"/>
    <w:rsid w:val="008F1EE2"/>
    <w:rsid w:val="008F680F"/>
    <w:rsid w:val="00907AE4"/>
    <w:rsid w:val="00910528"/>
    <w:rsid w:val="00911400"/>
    <w:rsid w:val="00912FC4"/>
    <w:rsid w:val="0092263F"/>
    <w:rsid w:val="009254F9"/>
    <w:rsid w:val="009367DD"/>
    <w:rsid w:val="00941A6C"/>
    <w:rsid w:val="00943784"/>
    <w:rsid w:val="00943D37"/>
    <w:rsid w:val="00953A36"/>
    <w:rsid w:val="00955FE1"/>
    <w:rsid w:val="009572F7"/>
    <w:rsid w:val="0096181C"/>
    <w:rsid w:val="00964255"/>
    <w:rsid w:val="009665C1"/>
    <w:rsid w:val="00966867"/>
    <w:rsid w:val="00973484"/>
    <w:rsid w:val="00973FEA"/>
    <w:rsid w:val="00974E26"/>
    <w:rsid w:val="00976BEC"/>
    <w:rsid w:val="00976C80"/>
    <w:rsid w:val="00976F52"/>
    <w:rsid w:val="0099694B"/>
    <w:rsid w:val="009A7FEC"/>
    <w:rsid w:val="009B1424"/>
    <w:rsid w:val="009B1AE4"/>
    <w:rsid w:val="009B2DCF"/>
    <w:rsid w:val="009B3B8C"/>
    <w:rsid w:val="009B5865"/>
    <w:rsid w:val="009B7FCD"/>
    <w:rsid w:val="009C2DEB"/>
    <w:rsid w:val="009D49C9"/>
    <w:rsid w:val="009E2303"/>
    <w:rsid w:val="009F65BF"/>
    <w:rsid w:val="009F65D0"/>
    <w:rsid w:val="00A02246"/>
    <w:rsid w:val="00A036C3"/>
    <w:rsid w:val="00A06277"/>
    <w:rsid w:val="00A063F7"/>
    <w:rsid w:val="00A06A79"/>
    <w:rsid w:val="00A06D7D"/>
    <w:rsid w:val="00A07891"/>
    <w:rsid w:val="00A10BBD"/>
    <w:rsid w:val="00A13C53"/>
    <w:rsid w:val="00A13F40"/>
    <w:rsid w:val="00A16C84"/>
    <w:rsid w:val="00A20280"/>
    <w:rsid w:val="00A220DF"/>
    <w:rsid w:val="00A23261"/>
    <w:rsid w:val="00A2794E"/>
    <w:rsid w:val="00A32BDC"/>
    <w:rsid w:val="00A34981"/>
    <w:rsid w:val="00A41AAF"/>
    <w:rsid w:val="00A45AC7"/>
    <w:rsid w:val="00A45CF9"/>
    <w:rsid w:val="00A45DB1"/>
    <w:rsid w:val="00A51597"/>
    <w:rsid w:val="00A550A2"/>
    <w:rsid w:val="00A55759"/>
    <w:rsid w:val="00A559DA"/>
    <w:rsid w:val="00A55D7F"/>
    <w:rsid w:val="00A639B6"/>
    <w:rsid w:val="00A64FCA"/>
    <w:rsid w:val="00A66BDF"/>
    <w:rsid w:val="00A83604"/>
    <w:rsid w:val="00A96433"/>
    <w:rsid w:val="00AA1B23"/>
    <w:rsid w:val="00AA3A35"/>
    <w:rsid w:val="00AA6265"/>
    <w:rsid w:val="00AA6AE1"/>
    <w:rsid w:val="00AA79F1"/>
    <w:rsid w:val="00AB0C81"/>
    <w:rsid w:val="00AB1F72"/>
    <w:rsid w:val="00AB7CAC"/>
    <w:rsid w:val="00AC26B8"/>
    <w:rsid w:val="00AC3A84"/>
    <w:rsid w:val="00AC5225"/>
    <w:rsid w:val="00AC5CAC"/>
    <w:rsid w:val="00AD03CD"/>
    <w:rsid w:val="00AD1505"/>
    <w:rsid w:val="00AD1ABA"/>
    <w:rsid w:val="00AD3319"/>
    <w:rsid w:val="00AD5656"/>
    <w:rsid w:val="00AD56C0"/>
    <w:rsid w:val="00AD7A07"/>
    <w:rsid w:val="00AE37AC"/>
    <w:rsid w:val="00AE795C"/>
    <w:rsid w:val="00AE7FB9"/>
    <w:rsid w:val="00AF1C06"/>
    <w:rsid w:val="00AF66C3"/>
    <w:rsid w:val="00AF70F2"/>
    <w:rsid w:val="00B01DA3"/>
    <w:rsid w:val="00B075F8"/>
    <w:rsid w:val="00B10437"/>
    <w:rsid w:val="00B17C19"/>
    <w:rsid w:val="00B20A85"/>
    <w:rsid w:val="00B25C1E"/>
    <w:rsid w:val="00B31588"/>
    <w:rsid w:val="00B333A4"/>
    <w:rsid w:val="00B3654C"/>
    <w:rsid w:val="00B36DAE"/>
    <w:rsid w:val="00B43F96"/>
    <w:rsid w:val="00B475A3"/>
    <w:rsid w:val="00B50FB3"/>
    <w:rsid w:val="00B512A0"/>
    <w:rsid w:val="00B52932"/>
    <w:rsid w:val="00B52B8C"/>
    <w:rsid w:val="00B54208"/>
    <w:rsid w:val="00B650C5"/>
    <w:rsid w:val="00B7158C"/>
    <w:rsid w:val="00B83281"/>
    <w:rsid w:val="00B8530F"/>
    <w:rsid w:val="00B8790F"/>
    <w:rsid w:val="00B87A0B"/>
    <w:rsid w:val="00B87CD0"/>
    <w:rsid w:val="00B90D19"/>
    <w:rsid w:val="00B910DF"/>
    <w:rsid w:val="00B9117B"/>
    <w:rsid w:val="00B94E6F"/>
    <w:rsid w:val="00B950D4"/>
    <w:rsid w:val="00B95CBC"/>
    <w:rsid w:val="00B972B6"/>
    <w:rsid w:val="00BA10D3"/>
    <w:rsid w:val="00BA4A5A"/>
    <w:rsid w:val="00BB4428"/>
    <w:rsid w:val="00BC2EBD"/>
    <w:rsid w:val="00BC2F10"/>
    <w:rsid w:val="00BC7518"/>
    <w:rsid w:val="00BD0A8F"/>
    <w:rsid w:val="00BD0B2C"/>
    <w:rsid w:val="00BD2203"/>
    <w:rsid w:val="00BD2580"/>
    <w:rsid w:val="00BD38E3"/>
    <w:rsid w:val="00BD7FFB"/>
    <w:rsid w:val="00BE5209"/>
    <w:rsid w:val="00BE730C"/>
    <w:rsid w:val="00BF13D2"/>
    <w:rsid w:val="00BF49BF"/>
    <w:rsid w:val="00BF5154"/>
    <w:rsid w:val="00BF69D1"/>
    <w:rsid w:val="00C00A0B"/>
    <w:rsid w:val="00C02ADE"/>
    <w:rsid w:val="00C02C9F"/>
    <w:rsid w:val="00C16DBA"/>
    <w:rsid w:val="00C22532"/>
    <w:rsid w:val="00C23405"/>
    <w:rsid w:val="00C237DC"/>
    <w:rsid w:val="00C26975"/>
    <w:rsid w:val="00C37D59"/>
    <w:rsid w:val="00C476F2"/>
    <w:rsid w:val="00C47EC3"/>
    <w:rsid w:val="00C50AF7"/>
    <w:rsid w:val="00C67F82"/>
    <w:rsid w:val="00C70FEE"/>
    <w:rsid w:val="00C71506"/>
    <w:rsid w:val="00C716CE"/>
    <w:rsid w:val="00C75576"/>
    <w:rsid w:val="00C829CE"/>
    <w:rsid w:val="00C85921"/>
    <w:rsid w:val="00C85BD7"/>
    <w:rsid w:val="00C86AC4"/>
    <w:rsid w:val="00C91E5F"/>
    <w:rsid w:val="00C94A09"/>
    <w:rsid w:val="00C954FD"/>
    <w:rsid w:val="00CA1450"/>
    <w:rsid w:val="00CA216F"/>
    <w:rsid w:val="00CA34D9"/>
    <w:rsid w:val="00CB08AA"/>
    <w:rsid w:val="00CB4BC4"/>
    <w:rsid w:val="00CC65B4"/>
    <w:rsid w:val="00CD402A"/>
    <w:rsid w:val="00CE05ED"/>
    <w:rsid w:val="00CE1C22"/>
    <w:rsid w:val="00CF2804"/>
    <w:rsid w:val="00CF4C75"/>
    <w:rsid w:val="00CF7640"/>
    <w:rsid w:val="00D14CEF"/>
    <w:rsid w:val="00D168E9"/>
    <w:rsid w:val="00D17EEF"/>
    <w:rsid w:val="00D2187B"/>
    <w:rsid w:val="00D314C1"/>
    <w:rsid w:val="00D318CC"/>
    <w:rsid w:val="00D323C2"/>
    <w:rsid w:val="00D369CE"/>
    <w:rsid w:val="00D53EBB"/>
    <w:rsid w:val="00D54649"/>
    <w:rsid w:val="00D566A9"/>
    <w:rsid w:val="00D56FA1"/>
    <w:rsid w:val="00D56FB2"/>
    <w:rsid w:val="00D6181F"/>
    <w:rsid w:val="00D655CB"/>
    <w:rsid w:val="00D71145"/>
    <w:rsid w:val="00D71681"/>
    <w:rsid w:val="00D719BE"/>
    <w:rsid w:val="00D71F7D"/>
    <w:rsid w:val="00D7335D"/>
    <w:rsid w:val="00D73F31"/>
    <w:rsid w:val="00D75D3B"/>
    <w:rsid w:val="00D75FF3"/>
    <w:rsid w:val="00D827C6"/>
    <w:rsid w:val="00D82C27"/>
    <w:rsid w:val="00D844ED"/>
    <w:rsid w:val="00D84E6F"/>
    <w:rsid w:val="00D97186"/>
    <w:rsid w:val="00D97A55"/>
    <w:rsid w:val="00DA3F38"/>
    <w:rsid w:val="00DA66BE"/>
    <w:rsid w:val="00DB13AF"/>
    <w:rsid w:val="00DD4E8C"/>
    <w:rsid w:val="00DE5064"/>
    <w:rsid w:val="00DE5932"/>
    <w:rsid w:val="00DE6F14"/>
    <w:rsid w:val="00DF2115"/>
    <w:rsid w:val="00DF7255"/>
    <w:rsid w:val="00E00E49"/>
    <w:rsid w:val="00E01B6D"/>
    <w:rsid w:val="00E02512"/>
    <w:rsid w:val="00E028A9"/>
    <w:rsid w:val="00E11288"/>
    <w:rsid w:val="00E1131B"/>
    <w:rsid w:val="00E14CB7"/>
    <w:rsid w:val="00E2321A"/>
    <w:rsid w:val="00E2368D"/>
    <w:rsid w:val="00E24A10"/>
    <w:rsid w:val="00E25A54"/>
    <w:rsid w:val="00E26DD4"/>
    <w:rsid w:val="00E37186"/>
    <w:rsid w:val="00E40B7C"/>
    <w:rsid w:val="00E535F7"/>
    <w:rsid w:val="00E618FC"/>
    <w:rsid w:val="00E642F5"/>
    <w:rsid w:val="00E65E79"/>
    <w:rsid w:val="00E66482"/>
    <w:rsid w:val="00E7129A"/>
    <w:rsid w:val="00E72581"/>
    <w:rsid w:val="00E83A9D"/>
    <w:rsid w:val="00E83D4C"/>
    <w:rsid w:val="00E84F9B"/>
    <w:rsid w:val="00E86165"/>
    <w:rsid w:val="00E8644E"/>
    <w:rsid w:val="00E91610"/>
    <w:rsid w:val="00E9236F"/>
    <w:rsid w:val="00E94503"/>
    <w:rsid w:val="00E957C2"/>
    <w:rsid w:val="00E96275"/>
    <w:rsid w:val="00EA0507"/>
    <w:rsid w:val="00EA09D3"/>
    <w:rsid w:val="00EA351F"/>
    <w:rsid w:val="00EA7D66"/>
    <w:rsid w:val="00EB1811"/>
    <w:rsid w:val="00EB1814"/>
    <w:rsid w:val="00EB195B"/>
    <w:rsid w:val="00EB4113"/>
    <w:rsid w:val="00EB4587"/>
    <w:rsid w:val="00EB496C"/>
    <w:rsid w:val="00EB620F"/>
    <w:rsid w:val="00EB7588"/>
    <w:rsid w:val="00EC03EC"/>
    <w:rsid w:val="00ED06FA"/>
    <w:rsid w:val="00ED0DBE"/>
    <w:rsid w:val="00ED34CF"/>
    <w:rsid w:val="00ED4211"/>
    <w:rsid w:val="00ED51B6"/>
    <w:rsid w:val="00EE3E2E"/>
    <w:rsid w:val="00EF2950"/>
    <w:rsid w:val="00F05F3E"/>
    <w:rsid w:val="00F06AA0"/>
    <w:rsid w:val="00F108AC"/>
    <w:rsid w:val="00F12201"/>
    <w:rsid w:val="00F208BF"/>
    <w:rsid w:val="00F21158"/>
    <w:rsid w:val="00F23F99"/>
    <w:rsid w:val="00F24928"/>
    <w:rsid w:val="00F26940"/>
    <w:rsid w:val="00F31A24"/>
    <w:rsid w:val="00F33509"/>
    <w:rsid w:val="00F33E30"/>
    <w:rsid w:val="00F36121"/>
    <w:rsid w:val="00F407D5"/>
    <w:rsid w:val="00F40A4D"/>
    <w:rsid w:val="00F4231A"/>
    <w:rsid w:val="00F42BE5"/>
    <w:rsid w:val="00F43D43"/>
    <w:rsid w:val="00F47A05"/>
    <w:rsid w:val="00F51FDC"/>
    <w:rsid w:val="00F55969"/>
    <w:rsid w:val="00F63A96"/>
    <w:rsid w:val="00F64CCF"/>
    <w:rsid w:val="00F722E7"/>
    <w:rsid w:val="00F76DA7"/>
    <w:rsid w:val="00F8664F"/>
    <w:rsid w:val="00F879F7"/>
    <w:rsid w:val="00F90A56"/>
    <w:rsid w:val="00F937CB"/>
    <w:rsid w:val="00F95D29"/>
    <w:rsid w:val="00FA4483"/>
    <w:rsid w:val="00FC2858"/>
    <w:rsid w:val="00FC4E82"/>
    <w:rsid w:val="00FD16EF"/>
    <w:rsid w:val="00FD5457"/>
    <w:rsid w:val="00FD7DF8"/>
    <w:rsid w:val="00FE21A0"/>
    <w:rsid w:val="00FE2C03"/>
    <w:rsid w:val="00FE3338"/>
    <w:rsid w:val="00FE6D5E"/>
    <w:rsid w:val="00FE777C"/>
    <w:rsid w:val="00FF2E9C"/>
    <w:rsid w:val="00FF3B93"/>
    <w:rsid w:val="00FF68C1"/>
    <w:rsid w:val="7DFFF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国家统计局</Company>
  <Pages>3</Pages>
  <Words>199</Words>
  <Characters>1137</Characters>
  <Lines>9</Lines>
  <Paragraphs>2</Paragraphs>
  <TotalTime>1</TotalTime>
  <ScaleCrop>false</ScaleCrop>
  <LinksUpToDate>false</LinksUpToDate>
  <CharactersWithSpaces>1334</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2021-12-31T16:30:00Z</dcterms:created>
  <dc:creator>丁雅茹(拟稿)</dc:creator>
  <cp:lastModifiedBy>kylin</cp:lastModifiedBy>
  <dcterms:modified xsi:type="dcterms:W3CDTF">2022-01-04T09:43:28Z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