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cs="Times New Roman"/>
          <w:color w:val="auto"/>
        </w:rPr>
        <w:t xml:space="preserve">  </w:t>
      </w:r>
      <w:r>
        <w:rPr>
          <w:rFonts w:hint="default" w:ascii="Times New Roman" w:hAnsi="Times New Roman" w:eastAsia="仿宋" w:cs="Times New Roman"/>
          <w:color w:val="auto"/>
          <w:sz w:val="32"/>
          <w:szCs w:val="32"/>
        </w:rPr>
        <w:t xml:space="preserve"> </w:t>
      </w:r>
      <w:r>
        <w:rPr>
          <w:rFonts w:hint="default" w:ascii="Times New Roman" w:hAnsi="Times New Roman" w:eastAsia="方正小标宋简体" w:cs="Times New Roman"/>
          <w:color w:val="auto"/>
          <w:sz w:val="44"/>
          <w:szCs w:val="44"/>
        </w:rPr>
        <w:t>烟台市牟平区</w:t>
      </w:r>
      <w:r>
        <w:rPr>
          <w:rFonts w:hint="default" w:ascii="Times New Roman" w:hAnsi="Times New Roman" w:eastAsia="方正小标宋简体" w:cs="Times New Roman"/>
          <w:color w:val="auto"/>
          <w:sz w:val="44"/>
          <w:szCs w:val="44"/>
          <w:lang w:val="en-US" w:eastAsia="zh-CN"/>
        </w:rPr>
        <w:t>人民政府</w:t>
      </w:r>
    </w:p>
    <w:p>
      <w:pPr>
        <w:spacing w:line="560" w:lineRule="exact"/>
        <w:jc w:val="center"/>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2020</w:t>
      </w:r>
      <w:r>
        <w:rPr>
          <w:rFonts w:hint="default" w:ascii="Times New Roman" w:hAnsi="Times New Roman" w:eastAsia="方正小标宋简体" w:cs="Times New Roman"/>
          <w:color w:val="auto"/>
          <w:sz w:val="44"/>
          <w:szCs w:val="44"/>
        </w:rPr>
        <w:t>年度政府信息公开年度报告</w:t>
      </w:r>
    </w:p>
    <w:p>
      <w:pPr>
        <w:rPr>
          <w:rFonts w:hint="default" w:ascii="Times New Roman" w:hAnsi="Times New Roman" w:eastAsia="仿宋" w:cs="Times New Roman"/>
          <w:color w:val="auto"/>
          <w:sz w:val="32"/>
          <w:szCs w:val="32"/>
        </w:rPr>
      </w:pP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报告根据《中华人民共和国政府信息公开条例》（以下简称《条例》）和《烟台市政府信息公开办法》（以下简称《办法》）规定和有关文件要求编制而成。内容包括：概述、主动公开政府信息情况、依申请公开情况、行政复议和行政诉讼、政府信息公开工作存在的主要问题及改进情况、附表等部分，以及相关统计附表、附图。本年度报告中所列数据统计期限从20</w:t>
      </w:r>
      <w:r>
        <w:rPr>
          <w:rFonts w:hint="eastAsia" w:ascii="Times New Roman" w:hAnsi="Times New Roman" w:eastAsia="仿宋" w:cs="Times New Roman"/>
          <w:color w:val="auto"/>
          <w:sz w:val="32"/>
          <w:szCs w:val="32"/>
          <w:lang w:val="en-US" w:eastAsia="zh-CN"/>
        </w:rPr>
        <w:t>20</w:t>
      </w:r>
      <w:r>
        <w:rPr>
          <w:rFonts w:hint="default" w:ascii="Times New Roman" w:hAnsi="Times New Roman" w:eastAsia="仿宋" w:cs="Times New Roman"/>
          <w:color w:val="auto"/>
          <w:sz w:val="32"/>
          <w:szCs w:val="32"/>
        </w:rPr>
        <w:t>年1月1日至20</w:t>
      </w:r>
      <w:r>
        <w:rPr>
          <w:rFonts w:hint="eastAsia" w:ascii="Times New Roman" w:hAnsi="Times New Roman" w:eastAsia="仿宋" w:cs="Times New Roman"/>
          <w:color w:val="auto"/>
          <w:sz w:val="32"/>
          <w:szCs w:val="32"/>
          <w:lang w:val="en-US" w:eastAsia="zh-CN"/>
        </w:rPr>
        <w:t>20</w:t>
      </w:r>
      <w:r>
        <w:rPr>
          <w:rFonts w:hint="default" w:ascii="Times New Roman" w:hAnsi="Times New Roman" w:eastAsia="仿宋" w:cs="Times New Roman"/>
          <w:color w:val="auto"/>
          <w:sz w:val="32"/>
          <w:szCs w:val="32"/>
        </w:rPr>
        <w:t>年12月31日。本报告在牟平区政府门户网站（http://www.muping.gov.cn/）公布。如对报告有疑问，请与牟平区人民政府信息公开科联系（地址：牟平区政府大街196号，邮编：264100；电话：0535—4219283）。</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ascii="黑体" w:hAnsi="宋体" w:eastAsia="黑体" w:cs="黑体"/>
          <w:i w:val="0"/>
          <w:caps w:val="0"/>
          <w:color w:val="auto"/>
          <w:spacing w:val="0"/>
          <w:sz w:val="31"/>
          <w:szCs w:val="31"/>
        </w:rPr>
      </w:pPr>
      <w:r>
        <w:rPr>
          <w:rFonts w:ascii="黑体" w:hAnsi="宋体" w:eastAsia="黑体" w:cs="黑体"/>
          <w:i w:val="0"/>
          <w:caps w:val="0"/>
          <w:color w:val="auto"/>
          <w:spacing w:val="0"/>
          <w:sz w:val="31"/>
          <w:szCs w:val="31"/>
        </w:rPr>
        <w:t>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left"/>
        <w:rPr>
          <w:rFonts w:hint="eastAsia" w:ascii="微软雅黑" w:hAnsi="微软雅黑" w:eastAsia="微软雅黑" w:cs="微软雅黑"/>
          <w:i w:val="0"/>
          <w:caps w:val="0"/>
          <w:color w:val="auto"/>
          <w:spacing w:val="0"/>
          <w:sz w:val="21"/>
          <w:szCs w:val="21"/>
        </w:rPr>
      </w:pPr>
      <w:r>
        <w:rPr>
          <w:rFonts w:hint="default" w:ascii="Times New Roman" w:hAnsi="Times New Roman" w:eastAsia="仿宋" w:cs="Times New Roman"/>
          <w:color w:val="auto"/>
          <w:sz w:val="32"/>
          <w:szCs w:val="32"/>
        </w:rPr>
        <w:t>20</w:t>
      </w:r>
      <w:r>
        <w:rPr>
          <w:rFonts w:hint="eastAsia" w:ascii="Times New Roman" w:hAnsi="Times New Roman" w:eastAsia="仿宋" w:cs="Times New Roman"/>
          <w:color w:val="auto"/>
          <w:sz w:val="32"/>
          <w:szCs w:val="32"/>
          <w:lang w:val="en-US" w:eastAsia="zh-CN"/>
        </w:rPr>
        <w:t>20</w:t>
      </w:r>
      <w:r>
        <w:rPr>
          <w:rFonts w:hint="default" w:ascii="Times New Roman" w:hAnsi="Times New Roman" w:eastAsia="仿宋" w:cs="Times New Roman"/>
          <w:color w:val="auto"/>
          <w:sz w:val="32"/>
          <w:szCs w:val="32"/>
        </w:rPr>
        <w:t>年，牟平区按照党中央、国务院各项工作要求，深入贯彻《条例》《办法》，认真落实</w:t>
      </w:r>
      <w:r>
        <w:rPr>
          <w:rFonts w:hint="default" w:ascii="Times New Roman" w:hAnsi="Times New Roman" w:eastAsia="仿宋" w:cs="Times New Roman"/>
          <w:color w:val="auto"/>
          <w:sz w:val="32"/>
          <w:szCs w:val="32"/>
          <w:lang w:val="en-US" w:eastAsia="zh-CN"/>
        </w:rPr>
        <w:t>省、市</w:t>
      </w:r>
      <w:r>
        <w:rPr>
          <w:rFonts w:hint="default" w:ascii="Times New Roman" w:hAnsi="Times New Roman" w:eastAsia="仿宋" w:cs="Times New Roman"/>
          <w:color w:val="auto"/>
          <w:sz w:val="32"/>
          <w:szCs w:val="32"/>
        </w:rPr>
        <w:t>等有关文件要求，坚持以公开为常态，不公开为例外，围绕助力深化改革、经济发展、民生改善和政府建设，把政府信息公开纳入政务公开一体部署推动，全面推进决策、执行、管理、服务、结果公开（简称“五公开”），</w:t>
      </w:r>
      <w:r>
        <w:rPr>
          <w:rFonts w:ascii="仿宋_GB2312" w:hAnsi="微软雅黑" w:eastAsia="仿宋_GB2312" w:cs="仿宋_GB2312"/>
          <w:i w:val="0"/>
          <w:caps w:val="0"/>
          <w:color w:val="auto"/>
          <w:spacing w:val="0"/>
          <w:kern w:val="0"/>
          <w:sz w:val="31"/>
          <w:szCs w:val="31"/>
          <w:lang w:val="en-US" w:eastAsia="zh-CN" w:bidi="ar"/>
        </w:rPr>
        <w:t>大力推进政府信息精准公开，全方位回应公众关切，优化营商环境，提高依法行政和政务服务水平，为推动治理体系和治理能力现代化建设发挥积极作用。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20" w:firstLineChars="200"/>
        <w:jc w:val="left"/>
        <w:rPr>
          <w:rFonts w:hint="eastAsia" w:ascii="楷体_GB2312" w:hAnsi="微软雅黑" w:eastAsia="楷体_GB2312" w:cs="楷体_GB2312"/>
          <w:i w:val="0"/>
          <w:caps w:val="0"/>
          <w:color w:val="auto"/>
          <w:spacing w:val="0"/>
          <w:kern w:val="0"/>
          <w:sz w:val="31"/>
          <w:szCs w:val="31"/>
          <w:lang w:val="en-US" w:eastAsia="zh-CN" w:bidi="ar"/>
        </w:rPr>
      </w:pPr>
      <w:r>
        <w:rPr>
          <w:rFonts w:ascii="楷体_GB2312" w:hAnsi="微软雅黑" w:eastAsia="楷体_GB2312" w:cs="楷体_GB2312"/>
          <w:i w:val="0"/>
          <w:caps w:val="0"/>
          <w:color w:val="auto"/>
          <w:spacing w:val="0"/>
          <w:kern w:val="0"/>
          <w:sz w:val="31"/>
          <w:szCs w:val="31"/>
          <w:lang w:val="en-US" w:eastAsia="zh-CN" w:bidi="ar"/>
        </w:rPr>
        <w:t>（一）主动公开</w:t>
      </w:r>
      <w:r>
        <w:rPr>
          <w:rFonts w:hint="eastAsia" w:ascii="楷体_GB2312" w:hAnsi="微软雅黑" w:eastAsia="楷体_GB2312" w:cs="楷体_GB2312"/>
          <w:i w:val="0"/>
          <w:caps w:val="0"/>
          <w:color w:val="auto"/>
          <w:spacing w:val="0"/>
          <w:kern w:val="0"/>
          <w:sz w:val="31"/>
          <w:szCs w:val="31"/>
          <w:lang w:val="en-US" w:eastAsia="zh-CN" w:bidi="ar"/>
        </w:rPr>
        <w:t>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40" w:firstLineChars="200"/>
        <w:jc w:val="left"/>
        <w:rPr>
          <w:rFonts w:hint="eastAsia" w:ascii="仿宋_GB2312" w:hAnsi="宋体" w:eastAsia="仿宋_GB2312" w:cs="仿宋_GB2312"/>
          <w:i w:val="0"/>
          <w:caps w:val="0"/>
          <w:color w:val="auto"/>
          <w:spacing w:val="0"/>
          <w:sz w:val="32"/>
          <w:szCs w:val="32"/>
          <w:shd w:val="clear" w:fill="FFFFFF"/>
          <w:lang w:val="en-US" w:eastAsia="zh-CN"/>
        </w:rPr>
      </w:pPr>
      <w:r>
        <w:rPr>
          <w:rFonts w:hint="eastAsia" w:ascii="仿宋_GB2312" w:hAnsi="宋体" w:eastAsia="仿宋_GB2312" w:cs="仿宋_GB2312"/>
          <w:i w:val="0"/>
          <w:caps w:val="0"/>
          <w:color w:val="auto"/>
          <w:spacing w:val="0"/>
          <w:sz w:val="32"/>
          <w:szCs w:val="32"/>
          <w:shd w:val="clear" w:fill="FFFFFF"/>
          <w:lang w:eastAsia="zh-CN"/>
        </w:rPr>
        <w:t>严格参照</w:t>
      </w:r>
      <w:r>
        <w:rPr>
          <w:rFonts w:ascii="仿宋_GB2312" w:hAnsi="宋体" w:eastAsia="仿宋_GB2312" w:cs="仿宋_GB2312"/>
          <w:i w:val="0"/>
          <w:caps w:val="0"/>
          <w:color w:val="auto"/>
          <w:spacing w:val="0"/>
          <w:sz w:val="32"/>
          <w:szCs w:val="32"/>
          <w:shd w:val="clear" w:fill="FFFFFF"/>
        </w:rPr>
        <w:t>新修订的《中华人民共和国政府信息公开条例》</w:t>
      </w:r>
      <w:r>
        <w:rPr>
          <w:rFonts w:hint="eastAsia" w:ascii="仿宋_GB2312" w:hAnsi="宋体" w:eastAsia="仿宋_GB2312" w:cs="仿宋_GB2312"/>
          <w:i w:val="0"/>
          <w:caps w:val="0"/>
          <w:color w:val="auto"/>
          <w:spacing w:val="0"/>
          <w:sz w:val="32"/>
          <w:szCs w:val="32"/>
          <w:shd w:val="clear" w:fill="FFFFFF"/>
          <w:lang w:eastAsia="zh-CN"/>
        </w:rPr>
        <w:t>开展政务公开工作</w:t>
      </w:r>
      <w:r>
        <w:rPr>
          <w:rFonts w:ascii="仿宋_GB2312" w:hAnsi="宋体" w:eastAsia="仿宋_GB2312" w:cs="仿宋_GB2312"/>
          <w:i w:val="0"/>
          <w:caps w:val="0"/>
          <w:color w:val="auto"/>
          <w:spacing w:val="0"/>
          <w:sz w:val="32"/>
          <w:szCs w:val="32"/>
          <w:shd w:val="clear" w:fill="FFFFFF"/>
        </w:rPr>
        <w:t>，更新政府信息公开指南和政府信息公开目录，加强政府信息公开保密审</w:t>
      </w:r>
      <w:r>
        <w:rPr>
          <w:rFonts w:hint="eastAsia" w:ascii="仿宋_GB2312" w:hAnsi="宋体" w:eastAsia="仿宋_GB2312" w:cs="仿宋_GB2312"/>
          <w:i w:val="0"/>
          <w:caps w:val="0"/>
          <w:color w:val="auto"/>
          <w:spacing w:val="0"/>
          <w:sz w:val="32"/>
          <w:szCs w:val="32"/>
          <w:shd w:val="clear" w:fill="FFFFFF"/>
          <w:lang w:eastAsia="zh-CN"/>
        </w:rPr>
        <w:t>查工作。主动公开基本信息共</w:t>
      </w:r>
      <w:r>
        <w:rPr>
          <w:rFonts w:hint="eastAsia" w:ascii="仿宋_GB2312" w:hAnsi="宋体" w:eastAsia="仿宋_GB2312" w:cs="仿宋_GB2312"/>
          <w:i w:val="0"/>
          <w:caps w:val="0"/>
          <w:color w:val="auto"/>
          <w:spacing w:val="0"/>
          <w:sz w:val="32"/>
          <w:szCs w:val="32"/>
          <w:shd w:val="clear" w:fill="FFFFFF"/>
          <w:lang w:val="en-US" w:eastAsia="zh-CN"/>
        </w:rPr>
        <w:t>2858</w:t>
      </w:r>
      <w:r>
        <w:rPr>
          <w:rFonts w:hint="eastAsia" w:ascii="仿宋_GB2312" w:hAnsi="宋体" w:eastAsia="仿宋_GB2312" w:cs="仿宋_GB2312"/>
          <w:i w:val="0"/>
          <w:caps w:val="0"/>
          <w:color w:val="auto"/>
          <w:spacing w:val="0"/>
          <w:sz w:val="32"/>
          <w:szCs w:val="32"/>
          <w:shd w:val="clear" w:fill="FFFFFF"/>
          <w:lang w:eastAsia="zh-CN"/>
        </w:rPr>
        <w:t>条。其中，机关职能、机构设置、办公地址、办公时间、联系方式、负责人姓名类</w:t>
      </w:r>
      <w:r>
        <w:rPr>
          <w:rFonts w:hint="eastAsia" w:ascii="仿宋_GB2312" w:hAnsi="宋体" w:eastAsia="仿宋_GB2312" w:cs="仿宋_GB2312"/>
          <w:i w:val="0"/>
          <w:caps w:val="0"/>
          <w:color w:val="auto"/>
          <w:spacing w:val="0"/>
          <w:sz w:val="32"/>
          <w:szCs w:val="32"/>
          <w:shd w:val="clear" w:fill="FFFFFF"/>
          <w:lang w:val="en-US" w:eastAsia="zh-CN"/>
        </w:rPr>
        <w:t>95</w:t>
      </w:r>
      <w:r>
        <w:rPr>
          <w:rFonts w:hint="eastAsia" w:ascii="仿宋_GB2312" w:hAnsi="宋体" w:eastAsia="仿宋_GB2312" w:cs="仿宋_GB2312"/>
          <w:i w:val="0"/>
          <w:caps w:val="0"/>
          <w:color w:val="auto"/>
          <w:spacing w:val="0"/>
          <w:sz w:val="32"/>
          <w:szCs w:val="32"/>
          <w:shd w:val="clear" w:fill="FFFFFF"/>
          <w:lang w:eastAsia="zh-CN"/>
        </w:rPr>
        <w:t>条，占总数的</w:t>
      </w:r>
      <w:r>
        <w:rPr>
          <w:rFonts w:hint="eastAsia" w:ascii="仿宋_GB2312" w:hAnsi="宋体" w:eastAsia="仿宋_GB2312" w:cs="仿宋_GB2312"/>
          <w:i w:val="0"/>
          <w:caps w:val="0"/>
          <w:color w:val="auto"/>
          <w:spacing w:val="0"/>
          <w:sz w:val="32"/>
          <w:szCs w:val="32"/>
          <w:shd w:val="clear" w:fill="FFFFFF"/>
          <w:lang w:val="en-US" w:eastAsia="zh-CN"/>
        </w:rPr>
        <w:t>3.3</w:t>
      </w:r>
      <w:r>
        <w:rPr>
          <w:rFonts w:hint="eastAsia" w:ascii="仿宋_GB2312" w:hAnsi="宋体" w:eastAsia="仿宋_GB2312" w:cs="仿宋_GB2312"/>
          <w:i w:val="0"/>
          <w:caps w:val="0"/>
          <w:color w:val="auto"/>
          <w:spacing w:val="0"/>
          <w:sz w:val="32"/>
          <w:szCs w:val="32"/>
          <w:shd w:val="clear" w:fill="FFFFFF"/>
          <w:lang w:eastAsia="zh-CN"/>
        </w:rPr>
        <w:t>%；国民经济和社会发展规划、专项规划、区域规划及相关政策类；规划计划类</w:t>
      </w:r>
      <w:r>
        <w:rPr>
          <w:rFonts w:hint="eastAsia" w:ascii="仿宋_GB2312" w:hAnsi="宋体" w:eastAsia="仿宋_GB2312" w:cs="仿宋_GB2312"/>
          <w:i w:val="0"/>
          <w:caps w:val="0"/>
          <w:color w:val="auto"/>
          <w:spacing w:val="0"/>
          <w:sz w:val="32"/>
          <w:szCs w:val="32"/>
          <w:shd w:val="clear" w:fill="FFFFFF"/>
          <w:lang w:val="en-US" w:eastAsia="zh-CN"/>
        </w:rPr>
        <w:t>21</w:t>
      </w:r>
      <w:r>
        <w:rPr>
          <w:rFonts w:hint="eastAsia" w:ascii="仿宋_GB2312" w:hAnsi="宋体" w:eastAsia="仿宋_GB2312" w:cs="仿宋_GB2312"/>
          <w:i w:val="0"/>
          <w:caps w:val="0"/>
          <w:color w:val="auto"/>
          <w:spacing w:val="0"/>
          <w:sz w:val="32"/>
          <w:szCs w:val="32"/>
          <w:shd w:val="clear" w:fill="FFFFFF"/>
          <w:lang w:eastAsia="zh-CN"/>
        </w:rPr>
        <w:t>条，占总数的</w:t>
      </w:r>
      <w:r>
        <w:rPr>
          <w:rFonts w:hint="eastAsia" w:ascii="仿宋_GB2312" w:hAnsi="宋体" w:eastAsia="仿宋_GB2312" w:cs="仿宋_GB2312"/>
          <w:i w:val="0"/>
          <w:caps w:val="0"/>
          <w:color w:val="auto"/>
          <w:spacing w:val="0"/>
          <w:sz w:val="32"/>
          <w:szCs w:val="32"/>
          <w:shd w:val="clear" w:fill="FFFFFF"/>
          <w:lang w:val="en-US" w:eastAsia="zh-CN"/>
        </w:rPr>
        <w:t>0.7</w:t>
      </w:r>
      <w:r>
        <w:rPr>
          <w:rFonts w:hint="eastAsia" w:ascii="仿宋_GB2312" w:hAnsi="宋体" w:eastAsia="仿宋_GB2312" w:cs="仿宋_GB2312"/>
          <w:i w:val="0"/>
          <w:caps w:val="0"/>
          <w:color w:val="auto"/>
          <w:spacing w:val="0"/>
          <w:sz w:val="32"/>
          <w:szCs w:val="32"/>
          <w:shd w:val="clear" w:fill="FFFFFF"/>
          <w:lang w:eastAsia="zh-CN"/>
        </w:rPr>
        <w:t>%；国民经济和社会发展统计信息类信息</w:t>
      </w:r>
      <w:r>
        <w:rPr>
          <w:rFonts w:hint="eastAsia" w:ascii="仿宋_GB2312" w:hAnsi="宋体" w:eastAsia="仿宋_GB2312" w:cs="仿宋_GB2312"/>
          <w:i w:val="0"/>
          <w:caps w:val="0"/>
          <w:color w:val="auto"/>
          <w:spacing w:val="0"/>
          <w:sz w:val="32"/>
          <w:szCs w:val="32"/>
          <w:shd w:val="clear" w:fill="FFFFFF"/>
          <w:lang w:val="en-US" w:eastAsia="zh-CN"/>
        </w:rPr>
        <w:t>13</w:t>
      </w:r>
      <w:r>
        <w:rPr>
          <w:rFonts w:hint="eastAsia" w:ascii="仿宋_GB2312" w:hAnsi="宋体" w:eastAsia="仿宋_GB2312" w:cs="仿宋_GB2312"/>
          <w:i w:val="0"/>
          <w:caps w:val="0"/>
          <w:color w:val="auto"/>
          <w:spacing w:val="0"/>
          <w:sz w:val="32"/>
          <w:szCs w:val="32"/>
          <w:shd w:val="clear" w:fill="FFFFFF"/>
          <w:lang w:eastAsia="zh-CN"/>
        </w:rPr>
        <w:t>条，占总数0.</w:t>
      </w:r>
      <w:r>
        <w:rPr>
          <w:rFonts w:hint="eastAsia" w:ascii="仿宋_GB2312" w:hAnsi="宋体" w:eastAsia="仿宋_GB2312" w:cs="仿宋_GB2312"/>
          <w:i w:val="0"/>
          <w:caps w:val="0"/>
          <w:color w:val="auto"/>
          <w:spacing w:val="0"/>
          <w:sz w:val="32"/>
          <w:szCs w:val="32"/>
          <w:shd w:val="clear" w:fill="FFFFFF"/>
          <w:lang w:val="en-US" w:eastAsia="zh-CN"/>
        </w:rPr>
        <w:t>5</w:t>
      </w:r>
      <w:r>
        <w:rPr>
          <w:rFonts w:hint="eastAsia" w:ascii="仿宋_GB2312" w:hAnsi="宋体" w:eastAsia="仿宋_GB2312" w:cs="仿宋_GB2312"/>
          <w:i w:val="0"/>
          <w:caps w:val="0"/>
          <w:color w:val="auto"/>
          <w:spacing w:val="0"/>
          <w:sz w:val="32"/>
          <w:szCs w:val="32"/>
          <w:shd w:val="clear" w:fill="FFFFFF"/>
          <w:lang w:eastAsia="zh-CN"/>
        </w:rPr>
        <w:t>%；财政预算、决算信息17</w:t>
      </w:r>
      <w:r>
        <w:rPr>
          <w:rFonts w:hint="eastAsia" w:ascii="仿宋_GB2312" w:hAnsi="宋体" w:eastAsia="仿宋_GB2312" w:cs="仿宋_GB2312"/>
          <w:i w:val="0"/>
          <w:caps w:val="0"/>
          <w:color w:val="auto"/>
          <w:spacing w:val="0"/>
          <w:sz w:val="32"/>
          <w:szCs w:val="32"/>
          <w:shd w:val="clear" w:fill="FFFFFF"/>
          <w:lang w:val="en-US" w:eastAsia="zh-CN"/>
        </w:rPr>
        <w:t>1</w:t>
      </w:r>
      <w:r>
        <w:rPr>
          <w:rFonts w:hint="eastAsia" w:ascii="仿宋_GB2312" w:hAnsi="宋体" w:eastAsia="仿宋_GB2312" w:cs="仿宋_GB2312"/>
          <w:i w:val="0"/>
          <w:caps w:val="0"/>
          <w:color w:val="auto"/>
          <w:spacing w:val="0"/>
          <w:sz w:val="32"/>
          <w:szCs w:val="32"/>
          <w:shd w:val="clear" w:fill="FFFFFF"/>
          <w:lang w:eastAsia="zh-CN"/>
        </w:rPr>
        <w:t>条，占总数的</w:t>
      </w:r>
      <w:r>
        <w:rPr>
          <w:rFonts w:hint="eastAsia" w:ascii="仿宋_GB2312" w:hAnsi="宋体" w:eastAsia="仿宋_GB2312" w:cs="仿宋_GB2312"/>
          <w:i w:val="0"/>
          <w:caps w:val="0"/>
          <w:color w:val="auto"/>
          <w:spacing w:val="0"/>
          <w:sz w:val="32"/>
          <w:szCs w:val="32"/>
          <w:shd w:val="clear" w:fill="FFFFFF"/>
          <w:lang w:val="en-US" w:eastAsia="zh-CN"/>
        </w:rPr>
        <w:t>6</w:t>
      </w:r>
      <w:r>
        <w:rPr>
          <w:rFonts w:hint="eastAsia" w:ascii="仿宋_GB2312" w:hAnsi="宋体" w:eastAsia="仿宋_GB2312" w:cs="仿宋_GB2312"/>
          <w:i w:val="0"/>
          <w:caps w:val="0"/>
          <w:color w:val="auto"/>
          <w:spacing w:val="0"/>
          <w:sz w:val="32"/>
          <w:szCs w:val="32"/>
          <w:shd w:val="clear" w:fill="FFFFFF"/>
          <w:lang w:eastAsia="zh-CN"/>
        </w:rPr>
        <w:t>%；重大建设项目的批准和实施情况类</w:t>
      </w:r>
      <w:r>
        <w:rPr>
          <w:rFonts w:hint="eastAsia" w:ascii="仿宋_GB2312" w:hAnsi="宋体" w:eastAsia="仿宋_GB2312" w:cs="仿宋_GB2312"/>
          <w:i w:val="0"/>
          <w:caps w:val="0"/>
          <w:color w:val="auto"/>
          <w:spacing w:val="0"/>
          <w:sz w:val="32"/>
          <w:szCs w:val="32"/>
          <w:shd w:val="clear" w:fill="FFFFFF"/>
          <w:lang w:val="en-US" w:eastAsia="zh-CN"/>
        </w:rPr>
        <w:t>388</w:t>
      </w:r>
      <w:r>
        <w:rPr>
          <w:rFonts w:hint="eastAsia" w:ascii="仿宋_GB2312" w:hAnsi="宋体" w:eastAsia="仿宋_GB2312" w:cs="仿宋_GB2312"/>
          <w:i w:val="0"/>
          <w:caps w:val="0"/>
          <w:color w:val="auto"/>
          <w:spacing w:val="0"/>
          <w:sz w:val="32"/>
          <w:szCs w:val="32"/>
          <w:shd w:val="clear" w:fill="FFFFFF"/>
          <w:lang w:eastAsia="zh-CN"/>
        </w:rPr>
        <w:t>条，占总数的</w:t>
      </w:r>
      <w:r>
        <w:rPr>
          <w:rFonts w:hint="eastAsia" w:ascii="仿宋_GB2312" w:hAnsi="宋体" w:eastAsia="仿宋_GB2312" w:cs="仿宋_GB2312"/>
          <w:i w:val="0"/>
          <w:caps w:val="0"/>
          <w:color w:val="auto"/>
          <w:spacing w:val="0"/>
          <w:sz w:val="32"/>
          <w:szCs w:val="32"/>
          <w:shd w:val="clear" w:fill="FFFFFF"/>
          <w:lang w:val="en-US" w:eastAsia="zh-CN"/>
        </w:rPr>
        <w:t>13.6</w:t>
      </w:r>
      <w:r>
        <w:rPr>
          <w:rFonts w:hint="eastAsia" w:ascii="仿宋_GB2312" w:hAnsi="宋体" w:eastAsia="仿宋_GB2312" w:cs="仿宋_GB2312"/>
          <w:i w:val="0"/>
          <w:caps w:val="0"/>
          <w:color w:val="auto"/>
          <w:spacing w:val="0"/>
          <w:sz w:val="32"/>
          <w:szCs w:val="32"/>
          <w:shd w:val="clear" w:fill="FFFFFF"/>
          <w:lang w:eastAsia="zh-CN"/>
        </w:rPr>
        <w:t>%；扶贫、教育、医疗、社会保障、促进就业等方面的政策、措施及其实施情况类</w:t>
      </w:r>
      <w:r>
        <w:rPr>
          <w:rFonts w:hint="eastAsia" w:ascii="仿宋_GB2312" w:hAnsi="宋体" w:eastAsia="仿宋_GB2312" w:cs="仿宋_GB2312"/>
          <w:i w:val="0"/>
          <w:caps w:val="0"/>
          <w:color w:val="auto"/>
          <w:spacing w:val="0"/>
          <w:sz w:val="32"/>
          <w:szCs w:val="32"/>
          <w:shd w:val="clear" w:fill="FFFFFF"/>
          <w:lang w:val="en-US" w:eastAsia="zh-CN"/>
        </w:rPr>
        <w:t>195</w:t>
      </w:r>
      <w:r>
        <w:rPr>
          <w:rFonts w:hint="eastAsia" w:ascii="仿宋_GB2312" w:hAnsi="宋体" w:eastAsia="仿宋_GB2312" w:cs="仿宋_GB2312"/>
          <w:i w:val="0"/>
          <w:caps w:val="0"/>
          <w:color w:val="auto"/>
          <w:spacing w:val="0"/>
          <w:sz w:val="32"/>
          <w:szCs w:val="32"/>
          <w:shd w:val="clear" w:fill="FFFFFF"/>
          <w:lang w:eastAsia="zh-CN"/>
        </w:rPr>
        <w:t>条，占总数的</w:t>
      </w:r>
      <w:r>
        <w:rPr>
          <w:rFonts w:hint="eastAsia" w:ascii="仿宋_GB2312" w:hAnsi="宋体" w:eastAsia="仿宋_GB2312" w:cs="仿宋_GB2312"/>
          <w:i w:val="0"/>
          <w:caps w:val="0"/>
          <w:color w:val="auto"/>
          <w:spacing w:val="0"/>
          <w:sz w:val="32"/>
          <w:szCs w:val="32"/>
          <w:shd w:val="clear" w:fill="FFFFFF"/>
          <w:lang w:val="en-US" w:eastAsia="zh-CN"/>
        </w:rPr>
        <w:t>6.8</w:t>
      </w:r>
      <w:r>
        <w:rPr>
          <w:rFonts w:hint="eastAsia" w:ascii="仿宋_GB2312" w:hAnsi="宋体" w:eastAsia="仿宋_GB2312" w:cs="仿宋_GB2312"/>
          <w:i w:val="0"/>
          <w:caps w:val="0"/>
          <w:color w:val="auto"/>
          <w:spacing w:val="0"/>
          <w:sz w:val="32"/>
          <w:szCs w:val="32"/>
          <w:shd w:val="clear" w:fill="FFFFFF"/>
          <w:lang w:eastAsia="zh-CN"/>
        </w:rPr>
        <w:t>%；突发公共事件的应急预案、预警信息及应对情况</w:t>
      </w:r>
      <w:r>
        <w:rPr>
          <w:rFonts w:hint="eastAsia" w:ascii="仿宋_GB2312" w:hAnsi="宋体" w:eastAsia="仿宋_GB2312" w:cs="仿宋_GB2312"/>
          <w:i w:val="0"/>
          <w:caps w:val="0"/>
          <w:color w:val="auto"/>
          <w:spacing w:val="0"/>
          <w:sz w:val="32"/>
          <w:szCs w:val="32"/>
          <w:shd w:val="clear" w:fill="FFFFFF"/>
          <w:lang w:val="en-US" w:eastAsia="zh-CN"/>
        </w:rPr>
        <w:t>17</w:t>
      </w:r>
      <w:r>
        <w:rPr>
          <w:rFonts w:hint="eastAsia" w:ascii="仿宋_GB2312" w:hAnsi="宋体" w:eastAsia="仿宋_GB2312" w:cs="仿宋_GB2312"/>
          <w:i w:val="0"/>
          <w:caps w:val="0"/>
          <w:color w:val="auto"/>
          <w:spacing w:val="0"/>
          <w:sz w:val="32"/>
          <w:szCs w:val="32"/>
          <w:shd w:val="clear" w:fill="FFFFFF"/>
          <w:lang w:eastAsia="zh-CN"/>
        </w:rPr>
        <w:t>条；占总数</w:t>
      </w:r>
      <w:r>
        <w:rPr>
          <w:rFonts w:hint="eastAsia" w:ascii="仿宋_GB2312" w:hAnsi="宋体" w:eastAsia="仿宋_GB2312" w:cs="仿宋_GB2312"/>
          <w:i w:val="0"/>
          <w:caps w:val="0"/>
          <w:color w:val="auto"/>
          <w:spacing w:val="0"/>
          <w:sz w:val="32"/>
          <w:szCs w:val="32"/>
          <w:shd w:val="clear" w:fill="FFFFFF"/>
          <w:lang w:val="en-US" w:eastAsia="zh-CN"/>
        </w:rPr>
        <w:t>0.6</w:t>
      </w:r>
      <w:r>
        <w:rPr>
          <w:rFonts w:hint="eastAsia" w:ascii="仿宋_GB2312" w:hAnsi="宋体" w:eastAsia="仿宋_GB2312" w:cs="仿宋_GB2312"/>
          <w:i w:val="0"/>
          <w:caps w:val="0"/>
          <w:color w:val="auto"/>
          <w:spacing w:val="0"/>
          <w:sz w:val="32"/>
          <w:szCs w:val="32"/>
          <w:shd w:val="clear" w:fill="FFFFFF"/>
          <w:lang w:eastAsia="zh-CN"/>
        </w:rPr>
        <w:t>%；；环境保护、公共卫生、安全生产、食品药品、产品质量的监督检查情况执法监督类</w:t>
      </w:r>
      <w:r>
        <w:rPr>
          <w:rFonts w:hint="eastAsia" w:ascii="仿宋_GB2312" w:hAnsi="宋体" w:eastAsia="仿宋_GB2312" w:cs="仿宋_GB2312"/>
          <w:i w:val="0"/>
          <w:caps w:val="0"/>
          <w:color w:val="auto"/>
          <w:spacing w:val="0"/>
          <w:sz w:val="32"/>
          <w:szCs w:val="32"/>
          <w:shd w:val="clear" w:fill="FFFFFF"/>
          <w:lang w:val="en-US" w:eastAsia="zh-CN"/>
        </w:rPr>
        <w:t>303</w:t>
      </w:r>
      <w:r>
        <w:rPr>
          <w:rFonts w:hint="eastAsia" w:ascii="仿宋_GB2312" w:hAnsi="宋体" w:eastAsia="仿宋_GB2312" w:cs="仿宋_GB2312"/>
          <w:i w:val="0"/>
          <w:caps w:val="0"/>
          <w:color w:val="auto"/>
          <w:spacing w:val="0"/>
          <w:sz w:val="32"/>
          <w:szCs w:val="32"/>
          <w:shd w:val="clear" w:fill="FFFFFF"/>
          <w:lang w:eastAsia="zh-CN"/>
        </w:rPr>
        <w:t>条，占总数</w:t>
      </w:r>
      <w:r>
        <w:rPr>
          <w:rFonts w:hint="eastAsia" w:ascii="仿宋_GB2312" w:hAnsi="宋体" w:eastAsia="仿宋_GB2312" w:cs="仿宋_GB2312"/>
          <w:i w:val="0"/>
          <w:caps w:val="0"/>
          <w:color w:val="auto"/>
          <w:spacing w:val="0"/>
          <w:sz w:val="32"/>
          <w:szCs w:val="32"/>
          <w:shd w:val="clear" w:fill="FFFFFF"/>
          <w:lang w:val="en-US" w:eastAsia="zh-CN"/>
        </w:rPr>
        <w:t>10.6</w:t>
      </w:r>
      <w:r>
        <w:rPr>
          <w:rFonts w:hint="eastAsia" w:ascii="仿宋_GB2312" w:hAnsi="宋体" w:eastAsia="仿宋_GB2312" w:cs="仿宋_GB2312"/>
          <w:i w:val="0"/>
          <w:caps w:val="0"/>
          <w:color w:val="auto"/>
          <w:spacing w:val="0"/>
          <w:sz w:val="32"/>
          <w:szCs w:val="32"/>
          <w:shd w:val="clear" w:fill="FFFFFF"/>
          <w:lang w:eastAsia="zh-CN"/>
        </w:rPr>
        <w:t>%；公务员招考的职位、名额、报考条件等事项以及录用结果</w:t>
      </w:r>
      <w:r>
        <w:rPr>
          <w:rFonts w:hint="eastAsia" w:ascii="仿宋_GB2312" w:hAnsi="宋体" w:eastAsia="仿宋_GB2312" w:cs="仿宋_GB2312"/>
          <w:i w:val="0"/>
          <w:caps w:val="0"/>
          <w:color w:val="auto"/>
          <w:spacing w:val="0"/>
          <w:sz w:val="32"/>
          <w:szCs w:val="32"/>
          <w:shd w:val="clear" w:fill="FFFFFF"/>
          <w:lang w:val="en-US" w:eastAsia="zh-CN"/>
        </w:rPr>
        <w:t>59</w:t>
      </w:r>
      <w:r>
        <w:rPr>
          <w:rFonts w:hint="eastAsia" w:ascii="仿宋_GB2312" w:hAnsi="宋体" w:eastAsia="仿宋_GB2312" w:cs="仿宋_GB2312"/>
          <w:i w:val="0"/>
          <w:caps w:val="0"/>
          <w:color w:val="auto"/>
          <w:spacing w:val="0"/>
          <w:sz w:val="32"/>
          <w:szCs w:val="32"/>
          <w:shd w:val="clear" w:fill="FFFFFF"/>
          <w:lang w:eastAsia="zh-CN"/>
        </w:rPr>
        <w:t>条，占</w:t>
      </w:r>
      <w:r>
        <w:rPr>
          <w:rFonts w:hint="eastAsia" w:ascii="仿宋_GB2312" w:hAnsi="宋体" w:eastAsia="仿宋_GB2312" w:cs="仿宋_GB2312"/>
          <w:i w:val="0"/>
          <w:caps w:val="0"/>
          <w:color w:val="auto"/>
          <w:spacing w:val="0"/>
          <w:sz w:val="32"/>
          <w:szCs w:val="32"/>
          <w:shd w:val="clear" w:fill="FFFFFF"/>
          <w:lang w:val="en-US" w:eastAsia="zh-CN"/>
        </w:rPr>
        <w:t>2.1</w:t>
      </w:r>
      <w:r>
        <w:rPr>
          <w:rFonts w:hint="eastAsia" w:ascii="仿宋_GB2312" w:hAnsi="宋体" w:eastAsia="仿宋_GB2312" w:cs="仿宋_GB2312"/>
          <w:i w:val="0"/>
          <w:caps w:val="0"/>
          <w:color w:val="auto"/>
          <w:spacing w:val="0"/>
          <w:sz w:val="32"/>
          <w:szCs w:val="32"/>
          <w:shd w:val="clear" w:fill="FFFFFF"/>
          <w:lang w:eastAsia="zh-CN"/>
        </w:rPr>
        <w:t>%；法律、法规、规章和国家有关规定规定应当主动公开的其他政府信息</w:t>
      </w:r>
      <w:r>
        <w:rPr>
          <w:rFonts w:hint="eastAsia" w:ascii="仿宋_GB2312" w:hAnsi="宋体" w:eastAsia="仿宋_GB2312" w:cs="仿宋_GB2312"/>
          <w:i w:val="0"/>
          <w:caps w:val="0"/>
          <w:color w:val="auto"/>
          <w:spacing w:val="0"/>
          <w:sz w:val="32"/>
          <w:szCs w:val="32"/>
          <w:shd w:val="clear" w:fill="FFFFFF"/>
          <w:lang w:val="en-US" w:eastAsia="zh-CN"/>
        </w:rPr>
        <w:t>1596</w:t>
      </w:r>
      <w:r>
        <w:rPr>
          <w:rFonts w:hint="eastAsia" w:ascii="仿宋_GB2312" w:hAnsi="宋体" w:eastAsia="仿宋_GB2312" w:cs="仿宋_GB2312"/>
          <w:i w:val="0"/>
          <w:caps w:val="0"/>
          <w:color w:val="auto"/>
          <w:spacing w:val="0"/>
          <w:sz w:val="32"/>
          <w:szCs w:val="32"/>
          <w:shd w:val="clear" w:fill="FFFFFF"/>
          <w:lang w:eastAsia="zh-CN"/>
        </w:rPr>
        <w:t>条，占总数的</w:t>
      </w:r>
      <w:r>
        <w:rPr>
          <w:rFonts w:hint="eastAsia" w:ascii="仿宋_GB2312" w:hAnsi="宋体" w:eastAsia="仿宋_GB2312" w:cs="仿宋_GB2312"/>
          <w:i w:val="0"/>
          <w:caps w:val="0"/>
          <w:color w:val="auto"/>
          <w:spacing w:val="0"/>
          <w:sz w:val="32"/>
          <w:szCs w:val="32"/>
          <w:shd w:val="clear" w:fill="FFFFFF"/>
          <w:lang w:val="en-US" w:eastAsia="zh-CN"/>
        </w:rPr>
        <w:t>55.8</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微软雅黑" w:eastAsia="仿宋_GB2312" w:cs="仿宋_GB2312"/>
          <w:i w:val="0"/>
          <w:caps w:val="0"/>
          <w:color w:val="auto"/>
          <w:spacing w:val="0"/>
          <w:kern w:val="0"/>
          <w:sz w:val="31"/>
          <w:szCs w:val="31"/>
          <w:lang w:val="en-US" w:eastAsia="zh-CN" w:bidi="ar"/>
        </w:rPr>
        <w:t>本年度共发布各类图解、音频视频、主要负责人等多形式解读内容</w:t>
      </w:r>
      <w:r>
        <w:rPr>
          <w:rFonts w:hint="eastAsia" w:ascii="Times New Roman" w:hAnsi="Times New Roman" w:eastAsia="微软雅黑" w:cs="Times New Roman"/>
          <w:i w:val="0"/>
          <w:caps w:val="0"/>
          <w:color w:val="auto"/>
          <w:spacing w:val="0"/>
          <w:kern w:val="0"/>
          <w:sz w:val="31"/>
          <w:szCs w:val="31"/>
          <w:lang w:val="en-US" w:eastAsia="zh-CN" w:bidi="ar"/>
        </w:rPr>
        <w:t>62</w:t>
      </w:r>
      <w:r>
        <w:rPr>
          <w:rFonts w:hint="eastAsia" w:ascii="仿宋_GB2312" w:hAnsi="微软雅黑" w:eastAsia="仿宋_GB2312" w:cs="仿宋_GB2312"/>
          <w:i w:val="0"/>
          <w:caps w:val="0"/>
          <w:color w:val="auto"/>
          <w:spacing w:val="0"/>
          <w:kern w:val="0"/>
          <w:sz w:val="31"/>
          <w:szCs w:val="31"/>
          <w:lang w:val="en-US" w:eastAsia="zh-CN" w:bidi="ar"/>
        </w:rPr>
        <w:t>篇，建立政策文件解读“双关联”；积极回应社会关切，</w:t>
      </w:r>
      <w:r>
        <w:rPr>
          <w:rFonts w:hint="default" w:ascii="Times New Roman" w:hAnsi="Times New Roman" w:eastAsia="微软雅黑" w:cs="Times New Roman"/>
          <w:i w:val="0"/>
          <w:caps w:val="0"/>
          <w:color w:val="auto"/>
          <w:spacing w:val="0"/>
          <w:kern w:val="0"/>
          <w:sz w:val="31"/>
          <w:szCs w:val="31"/>
          <w:lang w:val="en-US" w:eastAsia="zh-CN" w:bidi="ar"/>
        </w:rPr>
        <w:t>2020</w:t>
      </w:r>
      <w:r>
        <w:rPr>
          <w:rFonts w:hint="eastAsia" w:ascii="仿宋_GB2312" w:hAnsi="微软雅黑" w:eastAsia="仿宋_GB2312" w:cs="仿宋_GB2312"/>
          <w:i w:val="0"/>
          <w:caps w:val="0"/>
          <w:color w:val="auto"/>
          <w:spacing w:val="0"/>
          <w:kern w:val="0"/>
          <w:sz w:val="31"/>
          <w:szCs w:val="31"/>
          <w:lang w:val="en-US" w:eastAsia="zh-CN" w:bidi="ar"/>
        </w:rPr>
        <w:t>年度按时答复网上民声办件</w:t>
      </w:r>
      <w:r>
        <w:rPr>
          <w:rFonts w:hint="eastAsia" w:ascii="Times New Roman" w:hAnsi="Times New Roman" w:eastAsia="微软雅黑" w:cs="Times New Roman"/>
          <w:i w:val="0"/>
          <w:caps w:val="0"/>
          <w:color w:val="auto"/>
          <w:spacing w:val="0"/>
          <w:kern w:val="0"/>
          <w:sz w:val="31"/>
          <w:szCs w:val="31"/>
          <w:lang w:val="en-US" w:eastAsia="zh-CN" w:bidi="ar"/>
        </w:rPr>
        <w:t>854</w:t>
      </w:r>
      <w:r>
        <w:rPr>
          <w:rFonts w:hint="eastAsia" w:ascii="仿宋_GB2312" w:hAnsi="微软雅黑" w:eastAsia="仿宋_GB2312" w:cs="仿宋_GB2312"/>
          <w:i w:val="0"/>
          <w:caps w:val="0"/>
          <w:color w:val="auto"/>
          <w:spacing w:val="0"/>
          <w:kern w:val="0"/>
          <w:sz w:val="31"/>
          <w:szCs w:val="31"/>
          <w:lang w:val="en-US" w:eastAsia="zh-CN" w:bidi="ar"/>
        </w:rPr>
        <w:t>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楷体_GB2312" w:hAnsi="微软雅黑" w:eastAsia="楷体_GB2312" w:cs="楷体_GB2312"/>
          <w:i w:val="0"/>
          <w:caps w:val="0"/>
          <w:color w:val="auto"/>
          <w:spacing w:val="0"/>
          <w:kern w:val="0"/>
          <w:sz w:val="31"/>
          <w:szCs w:val="31"/>
          <w:lang w:val="en-US" w:eastAsia="zh-CN" w:bidi="ar"/>
        </w:rPr>
      </w:pPr>
      <w:r>
        <w:rPr>
          <w:rFonts w:hint="eastAsia" w:ascii="楷体_GB2312" w:hAnsi="微软雅黑" w:eastAsia="楷体_GB2312" w:cs="楷体_GB2312"/>
          <w:i w:val="0"/>
          <w:caps w:val="0"/>
          <w:color w:val="auto"/>
          <w:spacing w:val="0"/>
          <w:kern w:val="0"/>
          <w:sz w:val="31"/>
          <w:szCs w:val="31"/>
          <w:lang w:val="en-US" w:eastAsia="zh-CN" w:bidi="ar"/>
        </w:rPr>
        <w:drawing>
          <wp:inline distT="0" distB="0" distL="114300" distR="114300">
            <wp:extent cx="4755515" cy="2638425"/>
            <wp:effectExtent l="0" t="0" r="6985" b="9525"/>
            <wp:docPr id="1" name="图片 1" descr="政府网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政府网站"/>
                    <pic:cNvPicPr>
                      <a:picLocks noChangeAspect="1"/>
                    </pic:cNvPicPr>
                  </pic:nvPicPr>
                  <pic:blipFill>
                    <a:blip r:embed="rId4"/>
                    <a:stretch>
                      <a:fillRect/>
                    </a:stretch>
                  </pic:blipFill>
                  <pic:spPr>
                    <a:xfrm>
                      <a:off x="0" y="0"/>
                      <a:ext cx="4755515" cy="263842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楷体_GB2312" w:hAnsi="微软雅黑" w:eastAsia="楷体_GB2312" w:cs="楷体_GB2312"/>
          <w:i w:val="0"/>
          <w:caps w:val="0"/>
          <w:color w:val="auto"/>
          <w:spacing w:val="0"/>
          <w:kern w:val="0"/>
          <w:sz w:val="31"/>
          <w:szCs w:val="31"/>
          <w:lang w:val="en-US" w:eastAsia="zh-CN" w:bidi="ar"/>
        </w:rPr>
      </w:pPr>
      <w:r>
        <w:rPr>
          <w:rFonts w:hint="eastAsia" w:ascii="楷体_GB2312" w:hAnsi="微软雅黑" w:eastAsia="楷体_GB2312" w:cs="楷体_GB2312"/>
          <w:i w:val="0"/>
          <w:caps w:val="0"/>
          <w:color w:val="auto"/>
          <w:spacing w:val="0"/>
          <w:kern w:val="0"/>
          <w:sz w:val="31"/>
          <w:szCs w:val="31"/>
          <w:lang w:val="en-US" w:eastAsia="zh-CN" w:bidi="ar"/>
        </w:rPr>
        <w:drawing>
          <wp:inline distT="0" distB="0" distL="114300" distR="114300">
            <wp:extent cx="4463415" cy="2473960"/>
            <wp:effectExtent l="0" t="0" r="13335" b="2540"/>
            <wp:docPr id="2" name="图片 2" descr="解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解读"/>
                    <pic:cNvPicPr>
                      <a:picLocks noChangeAspect="1"/>
                    </pic:cNvPicPr>
                  </pic:nvPicPr>
                  <pic:blipFill>
                    <a:blip r:embed="rId5"/>
                    <a:stretch>
                      <a:fillRect/>
                    </a:stretch>
                  </pic:blipFill>
                  <pic:spPr>
                    <a:xfrm>
                      <a:off x="0" y="0"/>
                      <a:ext cx="4463415" cy="247396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jc w:val="center"/>
        <w:rPr>
          <w:rFonts w:hint="eastAsia" w:ascii="楷体_GB2312" w:hAnsi="微软雅黑" w:eastAsia="楷体_GB2312" w:cs="楷体_GB2312"/>
          <w:i w:val="0"/>
          <w:caps w:val="0"/>
          <w:color w:val="auto"/>
          <w:spacing w:val="0"/>
          <w:kern w:val="0"/>
          <w:sz w:val="31"/>
          <w:szCs w:val="31"/>
          <w:lang w:val="en-US" w:eastAsia="zh-CN" w:bidi="ar"/>
        </w:rPr>
      </w:pPr>
      <w:r>
        <w:rPr>
          <w:rFonts w:hint="eastAsia" w:ascii="楷体_GB2312" w:hAnsi="微软雅黑" w:eastAsia="楷体_GB2312" w:cs="楷体_GB2312"/>
          <w:i w:val="0"/>
          <w:caps w:val="0"/>
          <w:color w:val="auto"/>
          <w:spacing w:val="0"/>
          <w:kern w:val="0"/>
          <w:sz w:val="31"/>
          <w:szCs w:val="31"/>
          <w:lang w:val="en-US" w:eastAsia="zh-CN" w:bidi="ar"/>
        </w:rPr>
        <w:drawing>
          <wp:inline distT="0" distB="0" distL="114300" distR="114300">
            <wp:extent cx="4712970" cy="2115185"/>
            <wp:effectExtent l="0" t="0" r="11430" b="18415"/>
            <wp:docPr id="3" name="图片 3" descr="网上民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网上民声"/>
                    <pic:cNvPicPr>
                      <a:picLocks noChangeAspect="1"/>
                    </pic:cNvPicPr>
                  </pic:nvPicPr>
                  <pic:blipFill>
                    <a:blip r:embed="rId6"/>
                    <a:stretch>
                      <a:fillRect/>
                    </a:stretch>
                  </pic:blipFill>
                  <pic:spPr>
                    <a:xfrm>
                      <a:off x="0" y="0"/>
                      <a:ext cx="4712970" cy="2115185"/>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20" w:firstLineChars="200"/>
        <w:jc w:val="left"/>
        <w:rPr>
          <w:rFonts w:hint="eastAsia" w:ascii="楷体_GB2312" w:hAnsi="微软雅黑" w:eastAsia="楷体_GB2312" w:cs="楷体_GB2312"/>
          <w:i w:val="0"/>
          <w:caps w:val="0"/>
          <w:color w:val="auto"/>
          <w:spacing w:val="0"/>
          <w:kern w:val="0"/>
          <w:sz w:val="31"/>
          <w:szCs w:val="3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20" w:firstLineChars="200"/>
        <w:jc w:val="left"/>
        <w:rPr>
          <w:rFonts w:hint="eastAsia" w:ascii="楷体_GB2312" w:hAnsi="微软雅黑" w:eastAsia="楷体_GB2312" w:cs="楷体_GB2312"/>
          <w:i w:val="0"/>
          <w:caps w:val="0"/>
          <w:color w:val="auto"/>
          <w:spacing w:val="0"/>
          <w:kern w:val="0"/>
          <w:sz w:val="31"/>
          <w:szCs w:val="31"/>
          <w:lang w:val="en-US" w:eastAsia="zh-CN" w:bidi="ar"/>
        </w:rPr>
      </w:pPr>
      <w:r>
        <w:rPr>
          <w:rFonts w:hint="eastAsia" w:ascii="楷体_GB2312" w:hAnsi="微软雅黑" w:eastAsia="楷体_GB2312" w:cs="楷体_GB2312"/>
          <w:i w:val="0"/>
          <w:caps w:val="0"/>
          <w:color w:val="auto"/>
          <w:spacing w:val="0"/>
          <w:kern w:val="0"/>
          <w:sz w:val="31"/>
          <w:szCs w:val="31"/>
          <w:lang w:val="en-US" w:eastAsia="zh-CN" w:bidi="ar"/>
        </w:rPr>
        <w:t>（二）依申请公开工作</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全年共受理信息公开申请</w:t>
      </w:r>
      <w:r>
        <w:rPr>
          <w:rFonts w:hint="eastAsia" w:ascii="Times New Roman" w:hAnsi="Times New Roman" w:eastAsia="仿宋" w:cs="Times New Roman"/>
          <w:color w:val="auto"/>
          <w:sz w:val="32"/>
          <w:szCs w:val="32"/>
          <w:lang w:val="en-US" w:eastAsia="zh-CN"/>
        </w:rPr>
        <w:t>48</w:t>
      </w:r>
      <w:r>
        <w:rPr>
          <w:rFonts w:hint="default" w:ascii="Times New Roman" w:hAnsi="Times New Roman" w:eastAsia="仿宋" w:cs="Times New Roman"/>
          <w:color w:val="auto"/>
          <w:sz w:val="32"/>
          <w:szCs w:val="32"/>
        </w:rPr>
        <w:t>件，其中，自然人为申请人的申请</w:t>
      </w:r>
      <w:r>
        <w:rPr>
          <w:rFonts w:hint="eastAsia" w:ascii="Times New Roman" w:hAnsi="Times New Roman" w:eastAsia="仿宋" w:cs="Times New Roman"/>
          <w:color w:val="auto"/>
          <w:sz w:val="32"/>
          <w:szCs w:val="32"/>
          <w:lang w:val="en-US" w:eastAsia="zh-CN"/>
        </w:rPr>
        <w:t>36</w:t>
      </w:r>
      <w:r>
        <w:rPr>
          <w:rFonts w:hint="default" w:ascii="Times New Roman" w:hAnsi="Times New Roman" w:eastAsia="仿宋" w:cs="Times New Roman"/>
          <w:color w:val="auto"/>
          <w:sz w:val="32"/>
          <w:szCs w:val="32"/>
        </w:rPr>
        <w:t>件，法人或其他组织为申请人的申请</w:t>
      </w:r>
      <w:r>
        <w:rPr>
          <w:rFonts w:hint="eastAsia" w:ascii="Times New Roman" w:hAnsi="Times New Roman" w:eastAsia="仿宋" w:cs="Times New Roman"/>
          <w:color w:val="auto"/>
          <w:sz w:val="32"/>
          <w:szCs w:val="32"/>
          <w:lang w:val="en-US" w:eastAsia="zh-CN"/>
        </w:rPr>
        <w:t>12</w:t>
      </w:r>
      <w:r>
        <w:rPr>
          <w:rFonts w:hint="default" w:ascii="Times New Roman" w:hAnsi="Times New Roman" w:eastAsia="仿宋" w:cs="Times New Roman"/>
          <w:color w:val="auto"/>
          <w:sz w:val="32"/>
          <w:szCs w:val="32"/>
        </w:rPr>
        <w:t>件。本年度办理完成信息公开申请</w:t>
      </w:r>
      <w:r>
        <w:rPr>
          <w:rFonts w:hint="eastAsia" w:ascii="Times New Roman" w:hAnsi="Times New Roman" w:eastAsia="仿宋" w:cs="Times New Roman"/>
          <w:color w:val="auto"/>
          <w:sz w:val="32"/>
          <w:szCs w:val="32"/>
          <w:lang w:val="en-US" w:eastAsia="zh-CN"/>
        </w:rPr>
        <w:t>48</w:t>
      </w:r>
      <w:r>
        <w:rPr>
          <w:rFonts w:hint="default" w:ascii="Times New Roman" w:hAnsi="Times New Roman" w:eastAsia="仿宋" w:cs="Times New Roman"/>
          <w:color w:val="auto"/>
          <w:sz w:val="32"/>
          <w:szCs w:val="32"/>
        </w:rPr>
        <w:t>，其中予以公开的</w:t>
      </w:r>
      <w:r>
        <w:rPr>
          <w:rFonts w:hint="eastAsia" w:ascii="Times New Roman" w:hAnsi="Times New Roman" w:eastAsia="仿宋" w:cs="Times New Roman"/>
          <w:color w:val="auto"/>
          <w:sz w:val="32"/>
          <w:szCs w:val="32"/>
          <w:lang w:val="en-US" w:eastAsia="zh-CN"/>
        </w:rPr>
        <w:t>35</w:t>
      </w:r>
      <w:r>
        <w:rPr>
          <w:rFonts w:hint="default" w:ascii="Times New Roman" w:hAnsi="Times New Roman" w:eastAsia="仿宋" w:cs="Times New Roman"/>
          <w:color w:val="auto"/>
          <w:sz w:val="32"/>
          <w:szCs w:val="32"/>
        </w:rPr>
        <w:t>件，不予公开的</w:t>
      </w:r>
      <w:r>
        <w:rPr>
          <w:rFonts w:hint="eastAsia"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件，因本机关不掌握或需另行制作无法提供的</w:t>
      </w:r>
      <w:r>
        <w:rPr>
          <w:rFonts w:hint="eastAsia"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rPr>
        <w:t>件，转下年度办理的</w:t>
      </w:r>
      <w:r>
        <w:rPr>
          <w:rFonts w:hint="eastAsia"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件。</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因政府信息公开工作被申请行政复议</w:t>
      </w:r>
      <w:r>
        <w:rPr>
          <w:rFonts w:hint="eastAsia"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件，其中维</w:t>
      </w:r>
      <w:r>
        <w:rPr>
          <w:rFonts w:hint="eastAsia" w:ascii="Times New Roman" w:hAnsi="Times New Roman" w:eastAsia="仿宋" w:cs="Times New Roman"/>
          <w:color w:val="auto"/>
          <w:sz w:val="32"/>
          <w:szCs w:val="32"/>
          <w:lang w:eastAsia="zh-CN"/>
        </w:rPr>
        <w:t>结果纠正</w:t>
      </w:r>
      <w:r>
        <w:rPr>
          <w:rFonts w:hint="default" w:ascii="Times New Roman" w:hAnsi="Times New Roman" w:eastAsia="仿宋" w:cs="Times New Roman"/>
          <w:color w:val="auto"/>
          <w:sz w:val="32"/>
          <w:szCs w:val="32"/>
        </w:rPr>
        <w:t>的</w:t>
      </w:r>
      <w:r>
        <w:rPr>
          <w:rFonts w:hint="eastAsia"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件，</w:t>
      </w:r>
      <w:r>
        <w:rPr>
          <w:rFonts w:hint="eastAsia" w:ascii="Times New Roman" w:hAnsi="Times New Roman" w:eastAsia="仿宋" w:cs="Times New Roman"/>
          <w:color w:val="auto"/>
          <w:sz w:val="32"/>
          <w:szCs w:val="32"/>
          <w:lang w:eastAsia="zh-CN"/>
        </w:rPr>
        <w:t>其他结果</w:t>
      </w:r>
      <w:r>
        <w:rPr>
          <w:rFonts w:hint="eastAsia" w:ascii="Times New Roman" w:hAnsi="Times New Roman" w:eastAsia="仿宋" w:cs="Times New Roman"/>
          <w:color w:val="auto"/>
          <w:sz w:val="32"/>
          <w:szCs w:val="32"/>
          <w:lang w:val="en-US" w:eastAsia="zh-CN"/>
        </w:rPr>
        <w:t>1件</w:t>
      </w:r>
      <w:r>
        <w:rPr>
          <w:rFonts w:hint="default"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lang w:eastAsia="zh-CN"/>
        </w:rPr>
        <w:t>全年未收到行政复议案件</w:t>
      </w:r>
      <w:r>
        <w:rPr>
          <w:rFonts w:hint="default" w:ascii="Times New Roman" w:hAnsi="Times New Roman" w:eastAsia="仿宋" w:cs="Times New Roman"/>
          <w:color w:val="auto"/>
          <w:sz w:val="32"/>
          <w:szCs w:val="32"/>
        </w:rPr>
        <w:t>。</w:t>
      </w:r>
    </w:p>
    <w:p>
      <w:pPr>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2020年度我区依申请公开答复未收取任何费用。</w:t>
      </w:r>
    </w:p>
    <w:p>
      <w:pPr>
        <w:ind w:firstLine="640" w:firstLineChars="200"/>
        <w:rPr>
          <w:rFonts w:hint="default" w:ascii="Times New Roman" w:hAnsi="Times New Roman" w:eastAsia="仿宋" w:cs="Times New Roman"/>
          <w:color w:val="auto"/>
          <w:sz w:val="32"/>
          <w:szCs w:val="32"/>
        </w:rPr>
      </w:pPr>
    </w:p>
    <w:p>
      <w:pPr>
        <w:jc w:val="center"/>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rPr>
          <w:rFonts w:hint="default" w:ascii="Times New Roman" w:hAnsi="Times New Roman" w:eastAsia="黑体" w:cs="Times New Roman"/>
          <w:color w:val="auto"/>
          <w:sz w:val="32"/>
          <w:szCs w:val="32"/>
        </w:rPr>
      </w:pPr>
    </w:p>
    <w:p>
      <w:pPr>
        <w:ind w:firstLine="640" w:firstLineChars="200"/>
        <w:rPr>
          <w:rFonts w:hint="default" w:ascii="Times New Roman" w:hAnsi="Times New Roman" w:eastAsia="黑体" w:cs="Times New Roman"/>
          <w:color w:val="auto"/>
          <w:sz w:val="32"/>
          <w:szCs w:val="32"/>
        </w:rPr>
      </w:pPr>
    </w:p>
    <w:p>
      <w:pPr>
        <w:ind w:firstLine="620" w:firstLineChars="200"/>
        <w:rPr>
          <w:rFonts w:hint="eastAsia" w:ascii="楷体_GB2312" w:hAnsi="微软雅黑" w:eastAsia="楷体_GB2312" w:cs="楷体_GB2312"/>
          <w:i w:val="0"/>
          <w:caps w:val="0"/>
          <w:color w:val="auto"/>
          <w:spacing w:val="0"/>
          <w:kern w:val="0"/>
          <w:sz w:val="31"/>
          <w:szCs w:val="31"/>
          <w:lang w:val="en-US" w:eastAsia="zh-CN" w:bidi="ar"/>
        </w:rPr>
      </w:pPr>
      <w:r>
        <w:rPr>
          <w:rFonts w:hint="eastAsia" w:ascii="楷体_GB2312" w:hAnsi="微软雅黑" w:eastAsia="楷体_GB2312" w:cs="楷体_GB2312"/>
          <w:i w:val="0"/>
          <w:caps w:val="0"/>
          <w:color w:val="auto"/>
          <w:spacing w:val="0"/>
          <w:kern w:val="0"/>
          <w:sz w:val="31"/>
          <w:szCs w:val="31"/>
          <w:lang w:val="en-US" w:eastAsia="zh-CN" w:bidi="ar"/>
        </w:rPr>
        <w:t>（三）政府信息管理</w:t>
      </w:r>
    </w:p>
    <w:p>
      <w:pPr>
        <w:ind w:firstLine="640" w:firstLineChars="200"/>
        <w:rPr>
          <w:rFonts w:hint="eastAsia" w:ascii="Times New Roman" w:hAnsi="Times New Roman" w:eastAsia="仿宋" w:cs="Times New Roman"/>
          <w:color w:val="auto"/>
          <w:sz w:val="32"/>
          <w:szCs w:val="32"/>
          <w:lang w:eastAsia="zh-CN"/>
        </w:rPr>
      </w:pPr>
      <w:r>
        <w:rPr>
          <w:rFonts w:hint="eastAsia" w:ascii="Times New Roman" w:hAnsi="Times New Roman" w:eastAsia="仿宋" w:cs="Times New Roman"/>
          <w:color w:val="auto"/>
          <w:sz w:val="32"/>
          <w:szCs w:val="32"/>
          <w:lang w:val="en-US" w:eastAsia="zh-CN"/>
        </w:rPr>
        <w:t>2020年</w:t>
      </w:r>
      <w:r>
        <w:rPr>
          <w:rFonts w:hint="eastAsia" w:ascii="Times New Roman" w:hAnsi="Times New Roman" w:eastAsia="仿宋" w:cs="Times New Roman"/>
          <w:color w:val="auto"/>
          <w:sz w:val="32"/>
          <w:szCs w:val="32"/>
          <w:lang w:eastAsia="zh-CN"/>
        </w:rPr>
        <w:t>牟平区根据省市文件要求，重新编制《2020年牟平区政府信息主动公开基本目录及责任分工》编制内容更丰富、公开主体更明确、公开依据更规范、公开内容更详尽、公开时限更合理、公开渠道更多样性，在此基础上指导各部门各镇街编制完成政府信息主动公开基本目录。</w:t>
      </w:r>
    </w:p>
    <w:p>
      <w:pPr>
        <w:jc w:val="center"/>
        <w:rPr>
          <w:rFonts w:hint="eastAsia"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drawing>
          <wp:inline distT="0" distB="0" distL="114300" distR="114300">
            <wp:extent cx="5270500" cy="3643630"/>
            <wp:effectExtent l="0" t="0" r="6350" b="13970"/>
            <wp:docPr id="5" name="图片 5" descr="主动公开目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主动公开目录"/>
                    <pic:cNvPicPr>
                      <a:picLocks noChangeAspect="1"/>
                    </pic:cNvPicPr>
                  </pic:nvPicPr>
                  <pic:blipFill>
                    <a:blip r:embed="rId8"/>
                    <a:stretch>
                      <a:fillRect/>
                    </a:stretch>
                  </pic:blipFill>
                  <pic:spPr>
                    <a:xfrm>
                      <a:off x="0" y="0"/>
                      <a:ext cx="5270500" cy="3643630"/>
                    </a:xfrm>
                    <a:prstGeom prst="rect">
                      <a:avLst/>
                    </a:prstGeom>
                  </pic:spPr>
                </pic:pic>
              </a:graphicData>
            </a:graphic>
          </wp:inline>
        </w:drawing>
      </w:r>
    </w:p>
    <w:p>
      <w:pPr>
        <w:ind w:firstLine="620" w:firstLineChars="200"/>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lang w:eastAsia="zh-CN"/>
        </w:rPr>
        <w:t>同时，</w:t>
      </w:r>
      <w:r>
        <w:rPr>
          <w:rFonts w:ascii="仿宋_GB2312" w:hAnsi="宋体" w:eastAsia="仿宋_GB2312" w:cs="仿宋_GB2312"/>
          <w:i w:val="0"/>
          <w:caps w:val="0"/>
          <w:color w:val="auto"/>
          <w:spacing w:val="0"/>
          <w:sz w:val="31"/>
          <w:szCs w:val="31"/>
        </w:rPr>
        <w:t>围绕政府信息公开规范化、标准化建设目标，进一步完善制度体系，依照《烟台市人民政府办公室关于全面推进基层政务公开标准化规范化工作的实施意见》和《关于加强对我市基层政府政务公开事项标准目录编制工作指导的通知》要求，发布《</w:t>
      </w:r>
      <w:r>
        <w:rPr>
          <w:rFonts w:hint="eastAsia" w:ascii="仿宋_GB2312" w:hAnsi="宋体" w:eastAsia="仿宋_GB2312" w:cs="仿宋_GB2312"/>
          <w:i w:val="0"/>
          <w:caps w:val="0"/>
          <w:color w:val="auto"/>
          <w:spacing w:val="0"/>
          <w:sz w:val="31"/>
          <w:szCs w:val="31"/>
          <w:lang w:eastAsia="zh-CN"/>
        </w:rPr>
        <w:t>牟平区</w:t>
      </w:r>
      <w:r>
        <w:rPr>
          <w:rFonts w:ascii="仿宋_GB2312" w:hAnsi="宋体" w:eastAsia="仿宋_GB2312" w:cs="仿宋_GB2312"/>
          <w:i w:val="0"/>
          <w:caps w:val="0"/>
          <w:color w:val="auto"/>
          <w:spacing w:val="0"/>
          <w:sz w:val="31"/>
          <w:szCs w:val="31"/>
        </w:rPr>
        <w:t>关于全面推进基层政务公开标准化规范化工作的实施方案》指导全区开展试点领域标准目录编制工作。截止</w:t>
      </w:r>
      <w:r>
        <w:rPr>
          <w:rFonts w:hint="default" w:ascii="Times New Roman" w:hAnsi="Times New Roman" w:eastAsia="宋体" w:cs="Times New Roman"/>
          <w:i w:val="0"/>
          <w:caps w:val="0"/>
          <w:color w:val="auto"/>
          <w:spacing w:val="0"/>
          <w:sz w:val="31"/>
          <w:szCs w:val="31"/>
        </w:rPr>
        <w:t>12</w:t>
      </w:r>
      <w:r>
        <w:rPr>
          <w:rFonts w:hint="eastAsia" w:ascii="仿宋_GB2312" w:hAnsi="宋体" w:eastAsia="仿宋_GB2312" w:cs="仿宋_GB2312"/>
          <w:i w:val="0"/>
          <w:caps w:val="0"/>
          <w:color w:val="auto"/>
          <w:spacing w:val="0"/>
          <w:sz w:val="31"/>
          <w:szCs w:val="31"/>
        </w:rPr>
        <w:t>月底，</w:t>
      </w:r>
      <w:r>
        <w:rPr>
          <w:rFonts w:hint="eastAsia" w:ascii="仿宋_GB2312" w:hAnsi="宋体" w:eastAsia="仿宋_GB2312" w:cs="仿宋_GB2312"/>
          <w:i w:val="0"/>
          <w:caps w:val="0"/>
          <w:color w:val="auto"/>
          <w:spacing w:val="0"/>
          <w:sz w:val="31"/>
          <w:szCs w:val="31"/>
          <w:lang w:eastAsia="zh-CN"/>
        </w:rPr>
        <w:t>完成区级目录</w:t>
      </w:r>
      <w:r>
        <w:rPr>
          <w:rFonts w:hint="eastAsia" w:ascii="仿宋_GB2312" w:hAnsi="宋体" w:eastAsia="仿宋_GB2312" w:cs="仿宋_GB2312"/>
          <w:i w:val="0"/>
          <w:caps w:val="0"/>
          <w:color w:val="auto"/>
          <w:spacing w:val="0"/>
          <w:sz w:val="31"/>
          <w:szCs w:val="31"/>
          <w:lang w:val="en-US" w:eastAsia="zh-CN"/>
        </w:rPr>
        <w:t>24个，13个镇街均已编制完成各自目录，并在网上予以公开</w:t>
      </w:r>
      <w:r>
        <w:rPr>
          <w:rFonts w:hint="eastAsia" w:ascii="仿宋_GB2312" w:hAnsi="宋体" w:eastAsia="仿宋_GB2312" w:cs="仿宋_GB2312"/>
          <w:i w:val="0"/>
          <w:caps w:val="0"/>
          <w:color w:val="auto"/>
          <w:spacing w:val="0"/>
          <w:sz w:val="31"/>
          <w:szCs w:val="31"/>
        </w:rPr>
        <w:t>。</w:t>
      </w:r>
    </w:p>
    <w:p>
      <w:pPr>
        <w:jc w:val="center"/>
        <w:rPr>
          <w:rFonts w:hint="eastAsia" w:ascii="仿宋_GB2312" w:hAnsi="宋体" w:eastAsia="仿宋_GB2312" w:cs="仿宋_GB2312"/>
          <w:i w:val="0"/>
          <w:caps w:val="0"/>
          <w:color w:val="auto"/>
          <w:spacing w:val="0"/>
          <w:sz w:val="31"/>
          <w:szCs w:val="31"/>
          <w:lang w:eastAsia="zh-CN"/>
        </w:rPr>
      </w:pPr>
      <w:r>
        <w:rPr>
          <w:rFonts w:hint="eastAsia" w:ascii="仿宋_GB2312" w:hAnsi="宋体" w:eastAsia="仿宋_GB2312" w:cs="仿宋_GB2312"/>
          <w:i w:val="0"/>
          <w:caps w:val="0"/>
          <w:color w:val="auto"/>
          <w:spacing w:val="0"/>
          <w:sz w:val="31"/>
          <w:szCs w:val="31"/>
          <w:lang w:eastAsia="zh-CN"/>
        </w:rPr>
        <w:drawing>
          <wp:inline distT="0" distB="0" distL="114300" distR="114300">
            <wp:extent cx="5267325" cy="3401060"/>
            <wp:effectExtent l="0" t="0" r="9525" b="8890"/>
            <wp:docPr id="6" name="图片 6" descr="标准化目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标准化目录"/>
                    <pic:cNvPicPr>
                      <a:picLocks noChangeAspect="1"/>
                    </pic:cNvPicPr>
                  </pic:nvPicPr>
                  <pic:blipFill>
                    <a:blip r:embed="rId9"/>
                    <a:stretch>
                      <a:fillRect/>
                    </a:stretch>
                  </pic:blipFill>
                  <pic:spPr>
                    <a:xfrm>
                      <a:off x="0" y="0"/>
                      <a:ext cx="5267325" cy="3401060"/>
                    </a:xfrm>
                    <a:prstGeom prst="rect">
                      <a:avLst/>
                    </a:prstGeom>
                  </pic:spPr>
                </pic:pic>
              </a:graphicData>
            </a:graphic>
          </wp:inline>
        </w:drawing>
      </w:r>
    </w:p>
    <w:p>
      <w:pPr>
        <w:ind w:firstLine="620" w:firstLineChars="200"/>
        <w:rPr>
          <w:rFonts w:ascii="仿宋_GB2312" w:hAnsi="宋体" w:eastAsia="仿宋_GB2312" w:cs="仿宋_GB2312"/>
          <w:i w:val="0"/>
          <w:caps w:val="0"/>
          <w:color w:val="auto"/>
          <w:spacing w:val="0"/>
          <w:sz w:val="31"/>
          <w:szCs w:val="31"/>
        </w:rPr>
      </w:pPr>
      <w:r>
        <w:rPr>
          <w:rFonts w:ascii="仿宋_GB2312" w:hAnsi="宋体" w:eastAsia="仿宋_GB2312" w:cs="仿宋_GB2312"/>
          <w:i w:val="0"/>
          <w:caps w:val="0"/>
          <w:color w:val="auto"/>
          <w:spacing w:val="0"/>
          <w:sz w:val="31"/>
          <w:szCs w:val="31"/>
        </w:rPr>
        <w:t>严格规范区政府、区政府办政策性文件起草报批程序，以区政府、区政府办名义制作的文件全部如实填报公开属性，发布规范性文件台账目录，注明文件登记号、发文字号、发文主体、文件名称、实施日期和失效日期，实现了规范性文件全生命周期管理。</w:t>
      </w:r>
    </w:p>
    <w:p>
      <w:pPr>
        <w:ind w:firstLine="640" w:firstLineChars="200"/>
        <w:rPr>
          <w:rFonts w:hint="eastAsia" w:ascii="仿宋_GB2312" w:hAnsi="宋体" w:eastAsia="仿宋_GB2312" w:cs="仿宋_GB2312"/>
          <w:i w:val="0"/>
          <w:caps w:val="0"/>
          <w:color w:val="auto"/>
          <w:spacing w:val="0"/>
          <w:sz w:val="31"/>
          <w:szCs w:val="31"/>
          <w:lang w:eastAsia="zh-CN"/>
        </w:rPr>
      </w:pPr>
      <w:r>
        <w:rPr>
          <w:rFonts w:hint="eastAsia" w:ascii="楷体_GB2312" w:hAnsi="楷体_GB2312" w:eastAsia="楷体_GB2312" w:cs="楷体_GB2312"/>
          <w:i w:val="0"/>
          <w:caps w:val="0"/>
          <w:color w:val="auto"/>
          <w:spacing w:val="0"/>
          <w:sz w:val="32"/>
          <w:szCs w:val="32"/>
          <w:lang w:eastAsia="zh-CN"/>
        </w:rPr>
        <w:t>（四）平台建设工作</w:t>
      </w:r>
    </w:p>
    <w:p>
      <w:pPr>
        <w:ind w:firstLine="620" w:firstLineChars="200"/>
        <w:rPr>
          <w:rFonts w:hint="eastAsia" w:ascii="仿宋_GB2312" w:hAnsi="宋体" w:eastAsia="仿宋_GB2312" w:cs="仿宋_GB2312"/>
          <w:i w:val="0"/>
          <w:caps w:val="0"/>
          <w:color w:val="auto"/>
          <w:spacing w:val="0"/>
          <w:sz w:val="31"/>
          <w:szCs w:val="31"/>
          <w:lang w:val="en-US" w:eastAsia="zh-CN"/>
        </w:rPr>
      </w:pPr>
      <w:r>
        <w:rPr>
          <w:rFonts w:hint="default" w:ascii="仿宋_GB2312" w:hAnsi="宋体" w:eastAsia="仿宋_GB2312" w:cs="仿宋_GB2312"/>
          <w:i w:val="0"/>
          <w:caps w:val="0"/>
          <w:color w:val="auto"/>
          <w:spacing w:val="0"/>
          <w:sz w:val="31"/>
          <w:szCs w:val="31"/>
        </w:rPr>
        <w:t>坚持把“</w:t>
      </w:r>
      <w:r>
        <w:rPr>
          <w:rFonts w:hint="eastAsia" w:ascii="仿宋_GB2312" w:hAnsi="宋体" w:eastAsia="仿宋_GB2312" w:cs="仿宋_GB2312"/>
          <w:i w:val="0"/>
          <w:caps w:val="0"/>
          <w:color w:val="auto"/>
          <w:spacing w:val="0"/>
          <w:sz w:val="31"/>
          <w:szCs w:val="31"/>
          <w:lang w:eastAsia="zh-CN"/>
        </w:rPr>
        <w:t>牟平政府网站</w:t>
      </w:r>
      <w:r>
        <w:rPr>
          <w:rFonts w:hint="default" w:ascii="仿宋_GB2312" w:hAnsi="宋体" w:eastAsia="仿宋_GB2312" w:cs="仿宋_GB2312"/>
          <w:i w:val="0"/>
          <w:caps w:val="0"/>
          <w:color w:val="auto"/>
          <w:spacing w:val="0"/>
          <w:sz w:val="31"/>
          <w:szCs w:val="31"/>
        </w:rPr>
        <w:t>（http://www.kuiwen.gov.cn）”作为政府信息公开的第一平台，设立政务公开专栏，不断加强日常管理、维护和升级，整合信息资源，完善公开内容，区政府门户网站访问量不断提升。一是及时更新公开指南、目录和年报。按照新修订《条例》、《办法》的要求，及时做好政府信息公开指南的更新，确保了政府信息及时、准确发布。二是利用新媒体发布信息。先后开设“</w:t>
      </w:r>
      <w:r>
        <w:rPr>
          <w:rFonts w:hint="eastAsia" w:ascii="仿宋_GB2312" w:hAnsi="宋体" w:eastAsia="仿宋_GB2312" w:cs="仿宋_GB2312"/>
          <w:i w:val="0"/>
          <w:caps w:val="0"/>
          <w:color w:val="auto"/>
          <w:spacing w:val="0"/>
          <w:sz w:val="31"/>
          <w:szCs w:val="31"/>
          <w:lang w:eastAsia="zh-CN"/>
        </w:rPr>
        <w:t>牟平</w:t>
      </w:r>
      <w:r>
        <w:rPr>
          <w:rFonts w:hint="default" w:ascii="仿宋_GB2312" w:hAnsi="宋体" w:eastAsia="仿宋_GB2312" w:cs="仿宋_GB2312"/>
          <w:i w:val="0"/>
          <w:caps w:val="0"/>
          <w:color w:val="auto"/>
          <w:spacing w:val="0"/>
          <w:sz w:val="31"/>
          <w:szCs w:val="31"/>
        </w:rPr>
        <w:t>发布”新浪微博以及“</w:t>
      </w:r>
      <w:r>
        <w:rPr>
          <w:rFonts w:hint="eastAsia" w:ascii="仿宋_GB2312" w:hAnsi="宋体" w:eastAsia="仿宋_GB2312" w:cs="仿宋_GB2312"/>
          <w:i w:val="0"/>
          <w:caps w:val="0"/>
          <w:color w:val="auto"/>
          <w:spacing w:val="0"/>
          <w:sz w:val="31"/>
          <w:szCs w:val="31"/>
          <w:lang w:eastAsia="zh-CN"/>
        </w:rPr>
        <w:t>蓝色牟平</w:t>
      </w:r>
      <w:r>
        <w:rPr>
          <w:rFonts w:hint="default" w:ascii="仿宋_GB2312" w:hAnsi="宋体" w:eastAsia="仿宋_GB2312" w:cs="仿宋_GB2312"/>
          <w:i w:val="0"/>
          <w:caps w:val="0"/>
          <w:color w:val="auto"/>
          <w:spacing w:val="0"/>
          <w:sz w:val="31"/>
          <w:szCs w:val="31"/>
        </w:rPr>
        <w:t>”政务微信，不断增加受众群体数量，紧密结合群众关心的热点话题，用新媒体适应政府信息公开工作新常态。</w:t>
      </w:r>
      <w:r>
        <w:rPr>
          <w:rFonts w:hint="eastAsia" w:ascii="仿宋_GB2312" w:hAnsi="宋体" w:eastAsia="仿宋_GB2312" w:cs="仿宋_GB2312"/>
          <w:i w:val="0"/>
          <w:caps w:val="0"/>
          <w:color w:val="auto"/>
          <w:spacing w:val="0"/>
          <w:sz w:val="31"/>
          <w:szCs w:val="31"/>
          <w:lang w:eastAsia="zh-CN"/>
        </w:rPr>
        <w:t>将全区</w:t>
      </w:r>
      <w:r>
        <w:rPr>
          <w:rFonts w:hint="eastAsia" w:ascii="仿宋_GB2312" w:hAnsi="宋体" w:eastAsia="仿宋_GB2312" w:cs="仿宋_GB2312"/>
          <w:i w:val="0"/>
          <w:caps w:val="0"/>
          <w:color w:val="auto"/>
          <w:spacing w:val="0"/>
          <w:sz w:val="31"/>
          <w:szCs w:val="31"/>
          <w:lang w:val="en-US" w:eastAsia="zh-CN"/>
        </w:rPr>
        <w:t>40个政务新媒体纳入备案系统，并实现每季度进行网站及新媒体的检查，并将检查结果予以公开，</w:t>
      </w:r>
      <w:r>
        <w:rPr>
          <w:rFonts w:ascii="仿宋_GB2312" w:hAnsi="宋体" w:eastAsia="仿宋_GB2312" w:cs="仿宋_GB2312"/>
          <w:i w:val="0"/>
          <w:caps w:val="0"/>
          <w:color w:val="auto"/>
          <w:spacing w:val="0"/>
          <w:sz w:val="31"/>
          <w:szCs w:val="31"/>
        </w:rPr>
        <w:t>基本解决了内容更新不及时、信息发布不准确、交流互动不回应等情况。通过各种媒体及新闻发布会的形式就公众关注热点或重大舆情，进行及时、准确、权威地回应。</w:t>
      </w:r>
      <w:r>
        <w:rPr>
          <w:rFonts w:ascii="仿宋" w:hAnsi="仿宋" w:eastAsia="仿宋" w:cs="仿宋"/>
          <w:i w:val="0"/>
          <w:caps w:val="0"/>
          <w:color w:val="auto"/>
          <w:spacing w:val="0"/>
          <w:sz w:val="31"/>
          <w:szCs w:val="31"/>
        </w:rPr>
        <w:t>在</w:t>
      </w:r>
      <w:r>
        <w:rPr>
          <w:rFonts w:hint="eastAsia" w:ascii="仿宋" w:hAnsi="仿宋" w:eastAsia="仿宋" w:cs="仿宋"/>
          <w:i w:val="0"/>
          <w:caps w:val="0"/>
          <w:color w:val="auto"/>
          <w:spacing w:val="0"/>
          <w:sz w:val="31"/>
          <w:szCs w:val="31"/>
          <w:lang w:eastAsia="zh-CN"/>
        </w:rPr>
        <w:t>牟平区</w:t>
      </w:r>
      <w:r>
        <w:rPr>
          <w:rFonts w:ascii="仿宋_GB2312" w:hAnsi="宋体" w:eastAsia="仿宋_GB2312" w:cs="仿宋_GB2312"/>
          <w:i w:val="0"/>
          <w:caps w:val="0"/>
          <w:color w:val="auto"/>
          <w:spacing w:val="0"/>
          <w:sz w:val="31"/>
          <w:szCs w:val="31"/>
        </w:rPr>
        <w:t>政府门户网站</w:t>
      </w:r>
      <w:r>
        <w:rPr>
          <w:rFonts w:hint="eastAsia" w:ascii="仿宋" w:hAnsi="仿宋" w:eastAsia="仿宋" w:cs="仿宋"/>
          <w:i w:val="0"/>
          <w:caps w:val="0"/>
          <w:color w:val="auto"/>
          <w:spacing w:val="0"/>
          <w:sz w:val="31"/>
          <w:szCs w:val="31"/>
        </w:rPr>
        <w:t>集约化建设的基础上，</w:t>
      </w:r>
      <w:r>
        <w:rPr>
          <w:rFonts w:hint="eastAsia" w:ascii="仿宋" w:hAnsi="仿宋" w:eastAsia="仿宋" w:cs="仿宋"/>
          <w:i w:val="0"/>
          <w:caps w:val="0"/>
          <w:color w:val="auto"/>
          <w:spacing w:val="0"/>
          <w:sz w:val="31"/>
          <w:szCs w:val="31"/>
          <w:lang w:eastAsia="zh-CN"/>
        </w:rPr>
        <w:t>进行网站栏目调整及改版</w:t>
      </w:r>
      <w:r>
        <w:rPr>
          <w:rFonts w:hint="eastAsia" w:ascii="仿宋_GB2312" w:hAnsi="宋体" w:eastAsia="仿宋_GB2312" w:cs="仿宋_GB2312"/>
          <w:i w:val="0"/>
          <w:caps w:val="0"/>
          <w:color w:val="auto"/>
          <w:spacing w:val="0"/>
          <w:sz w:val="31"/>
          <w:szCs w:val="31"/>
        </w:rPr>
        <w:t>，实现展示风格优化、栏目设置优化、功能设计优化。集中展现政策文件、政府公报等内容</w:t>
      </w:r>
      <w:r>
        <w:rPr>
          <w:rFonts w:hint="eastAsia" w:ascii="仿宋_GB2312" w:hAnsi="宋体" w:eastAsia="仿宋_GB2312" w:cs="仿宋_GB2312"/>
          <w:i w:val="0"/>
          <w:caps w:val="0"/>
          <w:color w:val="auto"/>
          <w:spacing w:val="0"/>
          <w:sz w:val="31"/>
          <w:szCs w:val="31"/>
          <w:lang w:eastAsia="zh-CN"/>
        </w:rPr>
        <w:t>，</w:t>
      </w:r>
      <w:r>
        <w:rPr>
          <w:rFonts w:hint="eastAsia" w:ascii="仿宋_GB2312" w:hAnsi="宋体" w:eastAsia="仿宋_GB2312" w:cs="仿宋_GB2312"/>
          <w:i w:val="0"/>
          <w:caps w:val="0"/>
          <w:color w:val="auto"/>
          <w:spacing w:val="0"/>
          <w:sz w:val="31"/>
          <w:szCs w:val="31"/>
          <w:lang w:val="en-US" w:eastAsia="zh-CN"/>
        </w:rPr>
        <w:t>2020年共公开4次政府公报。</w:t>
      </w:r>
    </w:p>
    <w:p>
      <w:pPr>
        <w:jc w:val="center"/>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drawing>
          <wp:inline distT="0" distB="0" distL="114300" distR="114300">
            <wp:extent cx="3590290" cy="2832735"/>
            <wp:effectExtent l="0" t="0" r="10160" b="5715"/>
            <wp:docPr id="8" name="图片 8" descr="网站检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网站检查"/>
                    <pic:cNvPicPr>
                      <a:picLocks noChangeAspect="1"/>
                    </pic:cNvPicPr>
                  </pic:nvPicPr>
                  <pic:blipFill>
                    <a:blip r:embed="rId10"/>
                    <a:stretch>
                      <a:fillRect/>
                    </a:stretch>
                  </pic:blipFill>
                  <pic:spPr>
                    <a:xfrm>
                      <a:off x="0" y="0"/>
                      <a:ext cx="3590290" cy="2832735"/>
                    </a:xfrm>
                    <a:prstGeom prst="rect">
                      <a:avLst/>
                    </a:prstGeom>
                  </pic:spPr>
                </pic:pic>
              </a:graphicData>
            </a:graphic>
          </wp:inline>
        </w:drawing>
      </w:r>
      <w:r>
        <w:rPr>
          <w:rFonts w:hint="eastAsia" w:ascii="仿宋_GB2312" w:hAnsi="宋体" w:eastAsia="仿宋_GB2312" w:cs="仿宋_GB2312"/>
          <w:i w:val="0"/>
          <w:caps w:val="0"/>
          <w:color w:val="auto"/>
          <w:spacing w:val="0"/>
          <w:sz w:val="31"/>
          <w:szCs w:val="31"/>
          <w:lang w:val="en-US" w:eastAsia="zh-CN"/>
        </w:rPr>
        <w:drawing>
          <wp:inline distT="0" distB="0" distL="114300" distR="114300">
            <wp:extent cx="1585595" cy="2819400"/>
            <wp:effectExtent l="0" t="0" r="14605" b="0"/>
            <wp:docPr id="9" name="图片 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1"/>
                    <pic:cNvPicPr>
                      <a:picLocks noChangeAspect="1"/>
                    </pic:cNvPicPr>
                  </pic:nvPicPr>
                  <pic:blipFill>
                    <a:blip r:embed="rId11"/>
                    <a:stretch>
                      <a:fillRect/>
                    </a:stretch>
                  </pic:blipFill>
                  <pic:spPr>
                    <a:xfrm>
                      <a:off x="0" y="0"/>
                      <a:ext cx="1585595" cy="2819400"/>
                    </a:xfrm>
                    <a:prstGeom prst="rect">
                      <a:avLst/>
                    </a:prstGeom>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5"/>
        <w:jc w:val="left"/>
        <w:rPr>
          <w:rFonts w:ascii="微软雅黑" w:hAnsi="微软雅黑" w:eastAsia="微软雅黑" w:cs="微软雅黑"/>
          <w:i w:val="0"/>
          <w:caps w:val="0"/>
          <w:color w:val="auto"/>
          <w:spacing w:val="0"/>
          <w:sz w:val="21"/>
          <w:szCs w:val="21"/>
        </w:rPr>
      </w:pPr>
      <w:r>
        <w:rPr>
          <w:rFonts w:ascii="楷体_GB2312" w:hAnsi="微软雅黑" w:eastAsia="楷体_GB2312" w:cs="楷体_GB2312"/>
          <w:i w:val="0"/>
          <w:caps w:val="0"/>
          <w:color w:val="auto"/>
          <w:spacing w:val="15"/>
          <w:kern w:val="0"/>
          <w:sz w:val="31"/>
          <w:szCs w:val="31"/>
          <w:lang w:val="en-US" w:eastAsia="zh-CN" w:bidi="ar"/>
        </w:rPr>
        <w:t>（五）强化重点领域信息公开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5"/>
        <w:jc w:val="left"/>
        <w:rPr>
          <w:rFonts w:hint="eastAsia" w:ascii="微软雅黑" w:hAnsi="微软雅黑" w:eastAsia="微软雅黑" w:cs="微软雅黑"/>
          <w:i w:val="0"/>
          <w:caps w:val="0"/>
          <w:color w:val="auto"/>
          <w:spacing w:val="0"/>
          <w:sz w:val="21"/>
          <w:szCs w:val="21"/>
        </w:rPr>
      </w:pPr>
      <w:r>
        <w:rPr>
          <w:rFonts w:ascii="仿宋_GB2312" w:hAnsi="微软雅黑" w:eastAsia="仿宋_GB2312" w:cs="仿宋_GB2312"/>
          <w:i w:val="0"/>
          <w:caps w:val="0"/>
          <w:color w:val="auto"/>
          <w:spacing w:val="15"/>
          <w:kern w:val="0"/>
          <w:sz w:val="31"/>
          <w:szCs w:val="31"/>
          <w:lang w:val="en-US" w:eastAsia="zh-CN" w:bidi="ar"/>
        </w:rPr>
        <w:t>设置“财政信息”专栏，做好财政预决算公开，规范公开内容扩大公开范围，统一公开</w:t>
      </w:r>
      <w:r>
        <w:rPr>
          <w:rFonts w:hint="default" w:ascii="Times New Roman" w:hAnsi="Times New Roman" w:eastAsia="微软雅黑" w:cs="Times New Roman"/>
          <w:i w:val="0"/>
          <w:caps w:val="0"/>
          <w:color w:val="auto"/>
          <w:spacing w:val="15"/>
          <w:kern w:val="0"/>
          <w:sz w:val="31"/>
          <w:szCs w:val="31"/>
          <w:lang w:val="en-US" w:eastAsia="zh-CN" w:bidi="ar"/>
        </w:rPr>
        <w:t>2020</w:t>
      </w:r>
      <w:r>
        <w:rPr>
          <w:rFonts w:hint="eastAsia" w:ascii="仿宋_GB2312" w:hAnsi="微软雅黑" w:eastAsia="仿宋_GB2312" w:cs="仿宋_GB2312"/>
          <w:i w:val="0"/>
          <w:caps w:val="0"/>
          <w:color w:val="auto"/>
          <w:spacing w:val="15"/>
          <w:kern w:val="0"/>
          <w:sz w:val="31"/>
          <w:szCs w:val="31"/>
          <w:lang w:val="en-US" w:eastAsia="zh-CN" w:bidi="ar"/>
        </w:rPr>
        <w:t>年度部门预算和</w:t>
      </w:r>
      <w:r>
        <w:rPr>
          <w:rFonts w:hint="default" w:ascii="Times New Roman" w:hAnsi="Times New Roman" w:eastAsia="微软雅黑" w:cs="Times New Roman"/>
          <w:i w:val="0"/>
          <w:caps w:val="0"/>
          <w:color w:val="auto"/>
          <w:spacing w:val="15"/>
          <w:kern w:val="0"/>
          <w:sz w:val="31"/>
          <w:szCs w:val="31"/>
          <w:lang w:val="en-US" w:eastAsia="zh-CN" w:bidi="ar"/>
        </w:rPr>
        <w:t>2019</w:t>
      </w:r>
      <w:r>
        <w:rPr>
          <w:rFonts w:hint="eastAsia" w:ascii="仿宋_GB2312" w:hAnsi="微软雅黑" w:eastAsia="仿宋_GB2312" w:cs="仿宋_GB2312"/>
          <w:i w:val="0"/>
          <w:caps w:val="0"/>
          <w:color w:val="auto"/>
          <w:spacing w:val="15"/>
          <w:kern w:val="0"/>
          <w:sz w:val="31"/>
          <w:szCs w:val="31"/>
          <w:lang w:val="en-US" w:eastAsia="zh-CN" w:bidi="ar"/>
        </w:rPr>
        <w:t>年度部门决算信息</w:t>
      </w:r>
      <w:r>
        <w:rPr>
          <w:rFonts w:hint="eastAsia" w:ascii="Times New Roman" w:hAnsi="Times New Roman" w:eastAsia="微软雅黑" w:cs="Times New Roman"/>
          <w:i w:val="0"/>
          <w:caps w:val="0"/>
          <w:color w:val="auto"/>
          <w:spacing w:val="15"/>
          <w:kern w:val="0"/>
          <w:sz w:val="31"/>
          <w:szCs w:val="31"/>
          <w:lang w:val="en-US" w:eastAsia="zh-CN" w:bidi="ar"/>
        </w:rPr>
        <w:t>171</w:t>
      </w:r>
      <w:r>
        <w:rPr>
          <w:rFonts w:hint="eastAsia" w:ascii="仿宋_GB2312" w:hAnsi="微软雅黑" w:eastAsia="仿宋_GB2312" w:cs="仿宋_GB2312"/>
          <w:i w:val="0"/>
          <w:caps w:val="0"/>
          <w:color w:val="auto"/>
          <w:spacing w:val="15"/>
          <w:kern w:val="0"/>
          <w:sz w:val="31"/>
          <w:szCs w:val="31"/>
          <w:lang w:val="en-US" w:eastAsia="zh-CN" w:bidi="ar"/>
        </w:rPr>
        <w:t>条，做好减税降费内容公开，及时向社会公开行政事业性收费目录、政府定价或指导价经营服务性收费清单、政府性基金目录等信息。定期向社会发布政府性集中采购相关信息。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75"/>
        <w:jc w:val="left"/>
        <w:rPr>
          <w:rFonts w:hint="eastAsia" w:ascii="仿宋_GB2312" w:hAnsi="宋体" w:eastAsia="仿宋_GB2312" w:cs="仿宋_GB2312"/>
          <w:i w:val="0"/>
          <w:caps w:val="0"/>
          <w:color w:val="auto"/>
          <w:spacing w:val="0"/>
          <w:sz w:val="31"/>
          <w:szCs w:val="31"/>
          <w:shd w:val="clear" w:fill="FFFFFF"/>
        </w:rPr>
      </w:pPr>
      <w:r>
        <w:rPr>
          <w:rFonts w:hint="eastAsia" w:ascii="仿宋_GB2312" w:hAnsi="微软雅黑" w:eastAsia="仿宋_GB2312" w:cs="仿宋_GB2312"/>
          <w:i w:val="0"/>
          <w:caps w:val="0"/>
          <w:color w:val="auto"/>
          <w:spacing w:val="15"/>
          <w:kern w:val="0"/>
          <w:sz w:val="31"/>
          <w:szCs w:val="31"/>
          <w:lang w:val="en-US" w:eastAsia="zh-CN" w:bidi="ar"/>
        </w:rPr>
        <w:t>重大建设项目和公共资源配置方面。开设“重大建设项目批准和实施”专栏，公开重大建设项目目录，全过程公开项目审批、核准、施工、竣工等情况。及时发布国有土地使用权出让、政府集中采购、工程建设项目招标投标、国有产权交易等公共资源配置领域信息，全力保障实现公共资源</w:t>
      </w:r>
      <w:r>
        <w:rPr>
          <w:rFonts w:hint="eastAsia" w:ascii="仿宋_GB2312" w:hAnsi="宋体" w:eastAsia="仿宋_GB2312" w:cs="仿宋_GB2312"/>
          <w:i w:val="0"/>
          <w:caps w:val="0"/>
          <w:color w:val="auto"/>
          <w:spacing w:val="0"/>
          <w:sz w:val="31"/>
          <w:szCs w:val="31"/>
          <w:shd w:val="clear" w:fill="FFFFFF"/>
        </w:rPr>
        <w:t>配置全流程透明化。</w:t>
      </w:r>
    </w:p>
    <w:p>
      <w:pPr>
        <w:ind w:firstLine="620" w:firstLineChars="200"/>
        <w:rPr>
          <w:rFonts w:hint="eastAsia" w:ascii="仿宋_GB2312" w:hAnsi="宋体" w:eastAsia="仿宋_GB2312" w:cs="仿宋_GB2312"/>
          <w:i w:val="0"/>
          <w:caps w:val="0"/>
          <w:color w:val="auto"/>
          <w:spacing w:val="0"/>
          <w:sz w:val="31"/>
          <w:szCs w:val="31"/>
          <w:shd w:val="clear" w:fill="FFFFFF"/>
        </w:rPr>
      </w:pPr>
      <w:r>
        <w:rPr>
          <w:rFonts w:hint="eastAsia" w:ascii="仿宋_GB2312" w:hAnsi="宋体" w:eastAsia="仿宋_GB2312" w:cs="仿宋_GB2312"/>
          <w:i w:val="0"/>
          <w:caps w:val="0"/>
          <w:color w:val="auto"/>
          <w:spacing w:val="0"/>
          <w:sz w:val="31"/>
          <w:szCs w:val="31"/>
          <w:shd w:val="clear" w:fill="FFFFFF"/>
        </w:rPr>
        <w:t>重点民生与公益事业方面。集中发布扶贫攻坚、社会救助、社会福利、教育、环境保护、医疗卫生等方面的公益事业建设信息</w:t>
      </w:r>
      <w:r>
        <w:rPr>
          <w:rFonts w:hint="eastAsia" w:ascii="仿宋_GB2312" w:hAnsi="宋体" w:eastAsia="仿宋_GB2312" w:cs="仿宋_GB2312"/>
          <w:i w:val="0"/>
          <w:caps w:val="0"/>
          <w:color w:val="auto"/>
          <w:spacing w:val="0"/>
          <w:sz w:val="31"/>
          <w:szCs w:val="31"/>
          <w:shd w:val="clear" w:fill="FFFFFF"/>
          <w:lang w:val="en-US" w:eastAsia="zh-CN"/>
        </w:rPr>
        <w:t>175</w:t>
      </w:r>
      <w:r>
        <w:rPr>
          <w:rFonts w:hint="eastAsia" w:ascii="仿宋_GB2312" w:hAnsi="宋体" w:eastAsia="仿宋_GB2312" w:cs="仿宋_GB2312"/>
          <w:i w:val="0"/>
          <w:caps w:val="0"/>
          <w:color w:val="auto"/>
          <w:spacing w:val="0"/>
          <w:sz w:val="31"/>
          <w:szCs w:val="31"/>
          <w:shd w:val="clear" w:fill="FFFFFF"/>
        </w:rPr>
        <w:t>条。</w:t>
      </w:r>
    </w:p>
    <w:p>
      <w:pPr>
        <w:ind w:firstLine="620" w:firstLineChars="200"/>
        <w:rPr>
          <w:rFonts w:hint="eastAsia" w:ascii="仿宋_GB2312" w:hAnsi="宋体" w:eastAsia="仿宋_GB2312" w:cs="仿宋_GB2312"/>
          <w:i w:val="0"/>
          <w:caps w:val="0"/>
          <w:color w:val="auto"/>
          <w:spacing w:val="0"/>
          <w:sz w:val="31"/>
          <w:szCs w:val="31"/>
          <w:shd w:val="clear" w:fill="FFFFFF"/>
        </w:rPr>
      </w:pPr>
      <w:r>
        <w:rPr>
          <w:rFonts w:hint="eastAsia" w:ascii="仿宋_GB2312" w:hAnsi="宋体" w:eastAsia="仿宋_GB2312" w:cs="仿宋_GB2312"/>
          <w:i w:val="0"/>
          <w:caps w:val="0"/>
          <w:color w:val="auto"/>
          <w:spacing w:val="0"/>
          <w:sz w:val="31"/>
          <w:szCs w:val="31"/>
          <w:shd w:val="clear" w:fill="FFFFFF"/>
        </w:rPr>
        <w:t>公共监管方面。推进工作落实，集中展示信息，方便社会公众查阅。加大市场监管信息公开力度，突出食品药品、安全生产、“双随机、一公开”监管等方面的公开工作。全年累计发布信息</w:t>
      </w:r>
      <w:r>
        <w:rPr>
          <w:rFonts w:hint="eastAsia" w:ascii="仿宋_GB2312" w:hAnsi="宋体" w:eastAsia="仿宋_GB2312" w:cs="仿宋_GB2312"/>
          <w:i w:val="0"/>
          <w:caps w:val="0"/>
          <w:color w:val="auto"/>
          <w:spacing w:val="0"/>
          <w:sz w:val="31"/>
          <w:szCs w:val="31"/>
          <w:shd w:val="clear" w:fill="FFFFFF"/>
          <w:lang w:val="en-US" w:eastAsia="zh-CN"/>
        </w:rPr>
        <w:t>303</w:t>
      </w:r>
      <w:r>
        <w:rPr>
          <w:rFonts w:hint="eastAsia" w:ascii="仿宋_GB2312" w:hAnsi="宋体" w:eastAsia="仿宋_GB2312" w:cs="仿宋_GB2312"/>
          <w:i w:val="0"/>
          <w:caps w:val="0"/>
          <w:color w:val="auto"/>
          <w:spacing w:val="0"/>
          <w:sz w:val="31"/>
          <w:szCs w:val="31"/>
          <w:shd w:val="clear" w:fill="FFFFFF"/>
        </w:rPr>
        <w:t>条。</w:t>
      </w:r>
    </w:p>
    <w:p>
      <w:pPr>
        <w:ind w:firstLine="620" w:firstLineChars="200"/>
        <w:rPr>
          <w:rFonts w:hint="eastAsia" w:ascii="楷体_GB2312" w:hAnsi="宋体" w:eastAsia="楷体_GB2312" w:cs="楷体_GB2312"/>
          <w:i w:val="0"/>
          <w:caps w:val="0"/>
          <w:color w:val="auto"/>
          <w:spacing w:val="0"/>
          <w:sz w:val="31"/>
          <w:szCs w:val="31"/>
          <w:lang w:eastAsia="zh-CN"/>
        </w:rPr>
      </w:pPr>
      <w:r>
        <w:rPr>
          <w:rFonts w:hint="eastAsia" w:ascii="楷体_GB2312" w:hAnsi="宋体" w:eastAsia="楷体_GB2312" w:cs="楷体_GB2312"/>
          <w:i w:val="0"/>
          <w:caps w:val="0"/>
          <w:color w:val="auto"/>
          <w:spacing w:val="0"/>
          <w:sz w:val="31"/>
          <w:szCs w:val="31"/>
          <w:lang w:eastAsia="zh-CN"/>
        </w:rPr>
        <w:t>（六）人大、政协</w:t>
      </w:r>
      <w:r>
        <w:rPr>
          <w:rFonts w:ascii="楷体_GB2312" w:hAnsi="宋体" w:eastAsia="楷体_GB2312" w:cs="楷体_GB2312"/>
          <w:i w:val="0"/>
          <w:caps w:val="0"/>
          <w:color w:val="auto"/>
          <w:spacing w:val="0"/>
          <w:sz w:val="31"/>
          <w:szCs w:val="31"/>
        </w:rPr>
        <w:t>提案办理</w:t>
      </w:r>
      <w:r>
        <w:rPr>
          <w:rFonts w:hint="eastAsia" w:ascii="楷体_GB2312" w:hAnsi="宋体" w:eastAsia="楷体_GB2312" w:cs="楷体_GB2312"/>
          <w:i w:val="0"/>
          <w:caps w:val="0"/>
          <w:color w:val="auto"/>
          <w:spacing w:val="0"/>
          <w:sz w:val="31"/>
          <w:szCs w:val="31"/>
          <w:lang w:eastAsia="zh-CN"/>
        </w:rPr>
        <w:t>公开情况。</w:t>
      </w:r>
    </w:p>
    <w:p>
      <w:pPr>
        <w:ind w:firstLine="640" w:firstLineChars="200"/>
        <w:rPr>
          <w:rFonts w:hint="eastAsia" w:ascii="仿宋_GB2312" w:hAnsi="宋体" w:eastAsia="仿宋_GB2312" w:cs="仿宋_GB2312"/>
          <w:i w:val="0"/>
          <w:caps w:val="0"/>
          <w:color w:val="auto"/>
          <w:spacing w:val="0"/>
          <w:sz w:val="31"/>
          <w:szCs w:val="31"/>
          <w:shd w:val="clear" w:fill="FFFFFF"/>
        </w:rPr>
      </w:pPr>
      <w:r>
        <w:rPr>
          <w:rFonts w:hint="default" w:ascii="Times New Roman" w:hAnsi="Times New Roman" w:eastAsia="仿宋_GB2312" w:cs="Times New Roman"/>
          <w:snapToGrid w:val="0"/>
          <w:color w:val="auto"/>
          <w:spacing w:val="0"/>
          <w:kern w:val="0"/>
          <w:sz w:val="32"/>
          <w:szCs w:val="32"/>
          <w:highlight w:val="none"/>
          <w:lang w:val="en-US" w:eastAsia="zh-CN"/>
        </w:rPr>
        <w:t>区十八届人大四次会议以来共承办代表建议62件</w:t>
      </w:r>
      <w:r>
        <w:rPr>
          <w:rFonts w:hint="eastAsia" w:ascii="Times New Roman" w:hAnsi="Times New Roman" w:eastAsia="仿宋_GB2312" w:cs="Times New Roman"/>
          <w:snapToGrid w:val="0"/>
          <w:color w:val="auto"/>
          <w:spacing w:val="0"/>
          <w:kern w:val="0"/>
          <w:sz w:val="32"/>
          <w:szCs w:val="32"/>
          <w:highlight w:val="none"/>
          <w:lang w:val="en-US" w:eastAsia="zh-CN"/>
        </w:rPr>
        <w:t>，</w:t>
      </w:r>
      <w:r>
        <w:rPr>
          <w:rFonts w:hint="default" w:ascii="Times New Roman" w:hAnsi="Times New Roman" w:eastAsia="仿宋_GB2312" w:cs="Times New Roman"/>
          <w:snapToGrid w:val="0"/>
          <w:color w:val="auto"/>
          <w:spacing w:val="0"/>
          <w:kern w:val="0"/>
          <w:sz w:val="32"/>
          <w:szCs w:val="32"/>
          <w:highlight w:val="none"/>
          <w:lang w:val="en-US" w:eastAsia="zh-CN"/>
        </w:rPr>
        <w:t>内容涉及城市建设、农业农村、道路交通、生态环境、医疗卫生、文化旅游等方面。区政协十届四次会议以来办理提案75件，涉及城市建设和管理、文化旅游、道路交通、教育医疗等多个方面。</w:t>
      </w:r>
      <w:r>
        <w:rPr>
          <w:rFonts w:hint="eastAsia" w:ascii="仿宋_GB2312" w:hAnsi="宋体" w:eastAsia="仿宋_GB2312" w:cs="仿宋_GB2312"/>
          <w:i w:val="0"/>
          <w:caps w:val="0"/>
          <w:color w:val="auto"/>
          <w:spacing w:val="0"/>
          <w:sz w:val="31"/>
          <w:szCs w:val="31"/>
          <w:shd w:val="clear" w:fill="FFFFFF"/>
        </w:rPr>
        <w:t>目前已全部办理完毕。办理情况均已通过</w:t>
      </w:r>
      <w:r>
        <w:rPr>
          <w:rFonts w:hint="eastAsia" w:ascii="仿宋_GB2312" w:hAnsi="宋体" w:eastAsia="仿宋_GB2312" w:cs="仿宋_GB2312"/>
          <w:i w:val="0"/>
          <w:caps w:val="0"/>
          <w:color w:val="auto"/>
          <w:spacing w:val="0"/>
          <w:sz w:val="31"/>
          <w:szCs w:val="31"/>
          <w:shd w:val="clear" w:fill="FFFFFF"/>
          <w:lang w:eastAsia="zh-CN"/>
        </w:rPr>
        <w:t>牟平</w:t>
      </w:r>
      <w:r>
        <w:rPr>
          <w:rFonts w:hint="eastAsia" w:ascii="仿宋_GB2312" w:hAnsi="宋体" w:eastAsia="仿宋_GB2312" w:cs="仿宋_GB2312"/>
          <w:i w:val="0"/>
          <w:caps w:val="0"/>
          <w:color w:val="auto"/>
          <w:spacing w:val="0"/>
          <w:sz w:val="31"/>
          <w:szCs w:val="31"/>
          <w:shd w:val="clear" w:fill="FFFFFF"/>
        </w:rPr>
        <w:t>区人大代表建议和政协委员提案办理情况专题对外公开，公开率100%。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hint="eastAsia" w:ascii="楷体_GB2312" w:hAnsi="宋体" w:eastAsia="楷体_GB2312" w:cs="楷体_GB2312"/>
          <w:b w:val="0"/>
          <w:i w:val="0"/>
          <w:caps w:val="0"/>
          <w:color w:val="auto"/>
          <w:spacing w:val="0"/>
          <w:sz w:val="32"/>
          <w:szCs w:val="32"/>
          <w:shd w:val="clear" w:fill="FFFFFF"/>
        </w:rPr>
      </w:pPr>
      <w:r>
        <w:rPr>
          <w:rFonts w:ascii="楷体_GB2312" w:hAnsi="宋体" w:eastAsia="楷体_GB2312" w:cs="楷体_GB2312"/>
          <w:b w:val="0"/>
          <w:i w:val="0"/>
          <w:caps w:val="0"/>
          <w:color w:val="auto"/>
          <w:spacing w:val="0"/>
          <w:sz w:val="32"/>
          <w:szCs w:val="32"/>
          <w:shd w:val="clear" w:fill="FFFFFF"/>
        </w:rPr>
        <w:t>（</w:t>
      </w:r>
      <w:r>
        <w:rPr>
          <w:rFonts w:hint="eastAsia" w:ascii="楷体_GB2312" w:hAnsi="宋体" w:eastAsia="楷体_GB2312" w:cs="楷体_GB2312"/>
          <w:b w:val="0"/>
          <w:i w:val="0"/>
          <w:caps w:val="0"/>
          <w:color w:val="auto"/>
          <w:spacing w:val="0"/>
          <w:sz w:val="32"/>
          <w:szCs w:val="32"/>
          <w:shd w:val="clear" w:fill="FFFFFF"/>
        </w:rPr>
        <w:t>七）监督保障方面。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r>
        <w:rPr>
          <w:rFonts w:ascii="仿宋_GB2312" w:hAnsi="宋体" w:eastAsia="仿宋_GB2312" w:cs="仿宋_GB2312"/>
          <w:i w:val="0"/>
          <w:caps w:val="0"/>
          <w:color w:val="auto"/>
          <w:spacing w:val="0"/>
          <w:sz w:val="32"/>
          <w:szCs w:val="32"/>
          <w:shd w:val="clear" w:fill="FFFFFF"/>
        </w:rPr>
        <w:t>建立健全区政府信息公开工作考核办法和政府信息公开责任追究办法等有关监督保障机制，明确将政务公开纳入</w:t>
      </w:r>
      <w:r>
        <w:rPr>
          <w:rFonts w:hint="eastAsia" w:ascii="仿宋_GB2312" w:hAnsi="宋体" w:eastAsia="仿宋_GB2312" w:cs="仿宋_GB2312"/>
          <w:i w:val="0"/>
          <w:caps w:val="0"/>
          <w:color w:val="auto"/>
          <w:spacing w:val="0"/>
          <w:sz w:val="32"/>
          <w:szCs w:val="32"/>
          <w:shd w:val="clear" w:fill="FFFFFF"/>
          <w:lang w:eastAsia="zh-CN"/>
        </w:rPr>
        <w:t>政务督查</w:t>
      </w:r>
      <w:r>
        <w:rPr>
          <w:rFonts w:ascii="仿宋_GB2312" w:hAnsi="宋体" w:eastAsia="仿宋_GB2312" w:cs="仿宋_GB2312"/>
          <w:i w:val="0"/>
          <w:caps w:val="0"/>
          <w:color w:val="auto"/>
          <w:spacing w:val="0"/>
          <w:sz w:val="32"/>
          <w:szCs w:val="32"/>
          <w:shd w:val="clear" w:fill="FFFFFF"/>
        </w:rPr>
        <w:t>考核体系，并按季度对政府信息公开和政务公开保障情况进行检查，对未保障到位的单位进行通报，情节严重的予以追究责任。着重完善政务公开工作机制，加强政务公开机构建设、专职人员配备和经费保障。此外，在网站开通信息公开意见箱和信息公开邮箱，广泛听取公民、法人和其他社会组织对政府信息公开工作的批评、意见和建议，强化信息公开外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0" w:lineRule="atLeast"/>
        <w:ind w:left="0" w:right="0" w:firstLine="645"/>
        <w:rPr>
          <w:rFonts w:ascii="仿宋_GB2312" w:hAnsi="宋体" w:eastAsia="仿宋_GB2312" w:cs="仿宋_GB2312"/>
          <w:i w:val="0"/>
          <w:caps w:val="0"/>
          <w:color w:val="auto"/>
          <w:spacing w:val="0"/>
          <w:sz w:val="32"/>
          <w:szCs w:val="32"/>
          <w:shd w:val="clear" w:fill="FFFFFF"/>
        </w:rPr>
      </w:pPr>
    </w:p>
    <w:p>
      <w:pPr>
        <w:pStyle w:val="2"/>
        <w:widowControl w:val="0"/>
        <w:spacing w:before="0" w:beforeAutospacing="0" w:after="0" w:afterAutospacing="0" w:line="560" w:lineRule="exact"/>
        <w:ind w:firstLine="640" w:firstLineChars="200"/>
        <w:jc w:val="both"/>
        <w:rPr>
          <w:rFonts w:ascii="黑体" w:hAnsi="黑体" w:eastAsia="黑体" w:cs="黑体"/>
          <w:bCs/>
          <w:color w:val="auto"/>
          <w:sz w:val="32"/>
          <w:szCs w:val="32"/>
        </w:rPr>
      </w:pPr>
      <w:r>
        <w:rPr>
          <w:rFonts w:hint="eastAsia" w:ascii="黑体" w:hAnsi="黑体" w:eastAsia="黑体" w:cs="黑体"/>
          <w:bCs/>
          <w:color w:val="auto"/>
          <w:sz w:val="32"/>
          <w:szCs w:val="32"/>
        </w:rPr>
        <w:t>二、主动公开政府信息情况</w:t>
      </w:r>
    </w:p>
    <w:tbl>
      <w:tblPr>
        <w:tblStyle w:val="3"/>
        <w:tblW w:w="0" w:type="auto"/>
        <w:jc w:val="center"/>
        <w:tblLayout w:type="fixed"/>
        <w:tblCellMar>
          <w:top w:w="0" w:type="dxa"/>
          <w:left w:w="108" w:type="dxa"/>
          <w:bottom w:w="0" w:type="dxa"/>
          <w:right w:w="108" w:type="dxa"/>
        </w:tblCellMar>
      </w:tblPr>
      <w:tblGrid>
        <w:gridCol w:w="2786"/>
        <w:gridCol w:w="2376"/>
        <w:gridCol w:w="2048"/>
        <w:gridCol w:w="1850"/>
      </w:tblGrid>
      <w:tr>
        <w:tblPrEx>
          <w:tblCellMar>
            <w:top w:w="0" w:type="dxa"/>
            <w:left w:w="108" w:type="dxa"/>
            <w:bottom w:w="0" w:type="dxa"/>
            <w:right w:w="108" w:type="dxa"/>
          </w:tblCellMar>
        </w:tblPrEx>
        <w:trPr>
          <w:trHeight w:val="425"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color w:val="auto"/>
                <w:sz w:val="24"/>
                <w:szCs w:val="24"/>
              </w:rPr>
            </w:pPr>
            <w:r>
              <w:rPr>
                <w:rFonts w:hint="eastAsia" w:ascii="黑体" w:hAnsi="宋体" w:eastAsia="黑体" w:cs="宋体"/>
                <w:color w:val="auto"/>
                <w:kern w:val="0"/>
                <w:sz w:val="24"/>
                <w:szCs w:val="24"/>
              </w:rPr>
              <w:t>第二十条第（一）项</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color w:val="auto"/>
                <w:sz w:val="24"/>
                <w:szCs w:val="24"/>
              </w:rPr>
            </w:pPr>
            <w:r>
              <w:rPr>
                <w:rFonts w:hint="eastAsia" w:ascii="黑体" w:hAnsi="宋体" w:eastAsia="黑体" w:cs="宋体"/>
                <w:color w:val="auto"/>
                <w:kern w:val="0"/>
                <w:sz w:val="24"/>
                <w:szCs w:val="24"/>
              </w:rPr>
              <w:t>信息内容</w:t>
            </w:r>
          </w:p>
        </w:tc>
        <w:tc>
          <w:tcPr>
            <w:tcW w:w="237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eastAsia="黑体"/>
                <w:color w:val="auto"/>
                <w:sz w:val="24"/>
                <w:szCs w:val="24"/>
              </w:rPr>
            </w:pPr>
            <w:r>
              <w:rPr>
                <w:rFonts w:hint="eastAsia" w:ascii="黑体" w:hAnsi="宋体" w:eastAsia="黑体" w:cs="宋体"/>
                <w:color w:val="auto"/>
                <w:kern w:val="0"/>
                <w:sz w:val="24"/>
                <w:szCs w:val="24"/>
              </w:rPr>
              <w:t>本年新制作数量</w:t>
            </w:r>
          </w:p>
        </w:tc>
        <w:tc>
          <w:tcPr>
            <w:tcW w:w="204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eastAsia="黑体"/>
                <w:color w:val="auto"/>
                <w:sz w:val="24"/>
                <w:szCs w:val="24"/>
              </w:rPr>
            </w:pPr>
            <w:r>
              <w:rPr>
                <w:rFonts w:hint="eastAsia" w:ascii="黑体" w:hAnsi="宋体" w:eastAsia="黑体" w:cs="宋体"/>
                <w:color w:val="auto"/>
                <w:kern w:val="0"/>
                <w:sz w:val="24"/>
                <w:szCs w:val="24"/>
              </w:rPr>
              <w:t>本年新公开数量</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rFonts w:ascii="黑体" w:eastAsia="黑体"/>
                <w:color w:val="auto"/>
                <w:spacing w:val="-8"/>
                <w:sz w:val="24"/>
                <w:szCs w:val="24"/>
              </w:rPr>
            </w:pPr>
            <w:r>
              <w:rPr>
                <w:rFonts w:hint="eastAsia" w:ascii="黑体" w:hAnsi="宋体" w:eastAsia="黑体" w:cs="宋体"/>
                <w:color w:val="auto"/>
                <w:spacing w:val="-8"/>
                <w:kern w:val="0"/>
                <w:sz w:val="24"/>
                <w:szCs w:val="24"/>
              </w:rPr>
              <w:t>对外公开总数量</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left"/>
              <w:rPr>
                <w:color w:val="auto"/>
                <w:sz w:val="24"/>
                <w:szCs w:val="24"/>
              </w:rPr>
            </w:pPr>
            <w:r>
              <w:rPr>
                <w:rFonts w:hint="eastAsia" w:hAnsi="宋体" w:cs="宋体"/>
                <w:color w:val="auto"/>
                <w:kern w:val="0"/>
                <w:sz w:val="24"/>
                <w:szCs w:val="24"/>
              </w:rPr>
              <w:t>规章</w:t>
            </w:r>
          </w:p>
        </w:tc>
        <w:tc>
          <w:tcPr>
            <w:tcW w:w="237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color w:val="auto"/>
                <w:sz w:val="24"/>
                <w:szCs w:val="24"/>
                <w:lang w:val="en-US" w:eastAsia="zh-CN"/>
              </w:rPr>
              <w:t>0</w:t>
            </w:r>
          </w:p>
        </w:tc>
        <w:tc>
          <w:tcPr>
            <w:tcW w:w="204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color w:val="auto"/>
                <w:sz w:val="24"/>
                <w:szCs w:val="24"/>
                <w:lang w:val="en-US" w:eastAsia="zh-CN"/>
              </w:rPr>
              <w:t>0</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rFonts w:hint="eastAsia" w:eastAsia="仿宋_GB2312"/>
                <w:color w:val="auto"/>
                <w:sz w:val="24"/>
                <w:szCs w:val="24"/>
                <w:lang w:val="en-US" w:eastAsia="zh-CN"/>
              </w:rPr>
            </w:pPr>
            <w:r>
              <w:rPr>
                <w:rFonts w:hint="eastAsia"/>
                <w:color w:val="auto"/>
                <w:sz w:val="24"/>
                <w:szCs w:val="24"/>
                <w:lang w:val="en-US" w:eastAsia="zh-CN"/>
              </w:rPr>
              <w:t>0</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left"/>
              <w:rPr>
                <w:color w:val="auto"/>
                <w:sz w:val="24"/>
                <w:szCs w:val="24"/>
              </w:rPr>
            </w:pPr>
            <w:r>
              <w:rPr>
                <w:rFonts w:hint="eastAsia" w:hAnsi="宋体" w:cs="宋体"/>
                <w:color w:val="auto"/>
                <w:kern w:val="0"/>
                <w:sz w:val="24"/>
                <w:szCs w:val="24"/>
              </w:rPr>
              <w:t>规范性文件</w:t>
            </w:r>
          </w:p>
        </w:tc>
        <w:tc>
          <w:tcPr>
            <w:tcW w:w="2376" w:type="dxa"/>
            <w:tcBorders>
              <w:top w:val="nil"/>
              <w:left w:val="nil"/>
              <w:bottom w:val="single" w:color="auto" w:sz="4" w:space="0"/>
              <w:right w:val="single" w:color="auto" w:sz="4" w:space="0"/>
            </w:tcBorders>
            <w:noWrap w:val="0"/>
            <w:vAlign w:val="center"/>
          </w:tcPr>
          <w:p>
            <w:pPr>
              <w:adjustRightInd w:val="0"/>
              <w:snapToGrid w:val="0"/>
              <w:jc w:val="center"/>
              <w:rPr>
                <w:rFonts w:hint="eastAsia" w:eastAsia="仿宋_GB2312"/>
                <w:color w:val="auto"/>
                <w:sz w:val="24"/>
                <w:szCs w:val="24"/>
                <w:lang w:val="en-US" w:eastAsia="zh-CN"/>
              </w:rPr>
            </w:pPr>
            <w:r>
              <w:rPr>
                <w:rFonts w:hint="eastAsia"/>
                <w:color w:val="auto"/>
                <w:sz w:val="24"/>
                <w:szCs w:val="24"/>
                <w:lang w:val="en-US" w:eastAsia="zh-CN"/>
              </w:rPr>
              <w:t>3</w:t>
            </w:r>
          </w:p>
        </w:tc>
        <w:tc>
          <w:tcPr>
            <w:tcW w:w="2048" w:type="dxa"/>
            <w:tcBorders>
              <w:top w:val="nil"/>
              <w:left w:val="nil"/>
              <w:bottom w:val="single" w:color="auto" w:sz="4" w:space="0"/>
              <w:right w:val="single" w:color="auto" w:sz="4" w:space="0"/>
            </w:tcBorders>
            <w:noWrap w:val="0"/>
            <w:vAlign w:val="center"/>
          </w:tcPr>
          <w:p>
            <w:pPr>
              <w:adjustRightInd w:val="0"/>
              <w:snapToGrid w:val="0"/>
              <w:jc w:val="center"/>
              <w:rPr>
                <w:rFonts w:hint="eastAsia" w:eastAsia="仿宋_GB2312"/>
                <w:color w:val="auto"/>
                <w:sz w:val="24"/>
                <w:szCs w:val="24"/>
                <w:lang w:val="en-US" w:eastAsia="zh-CN"/>
              </w:rPr>
            </w:pPr>
            <w:r>
              <w:rPr>
                <w:rFonts w:hint="eastAsia"/>
                <w:color w:val="auto"/>
                <w:sz w:val="24"/>
                <w:szCs w:val="24"/>
                <w:lang w:val="en-US" w:eastAsia="zh-CN"/>
              </w:rPr>
              <w:t>3</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color w:val="auto"/>
                <w:sz w:val="24"/>
                <w:szCs w:val="24"/>
              </w:rPr>
            </w:pPr>
            <w:r>
              <w:rPr>
                <w:rFonts w:hint="eastAsia" w:hAnsi="宋体" w:cs="宋体"/>
                <w:color w:val="auto"/>
                <w:kern w:val="0"/>
                <w:sz w:val="24"/>
                <w:szCs w:val="24"/>
                <w:lang w:val="en-US" w:eastAsia="zh-CN"/>
              </w:rPr>
              <w:t>8</w:t>
            </w:r>
          </w:p>
        </w:tc>
      </w:tr>
      <w:tr>
        <w:tblPrEx>
          <w:tblCellMar>
            <w:top w:w="0" w:type="dxa"/>
            <w:left w:w="108" w:type="dxa"/>
            <w:bottom w:w="0" w:type="dxa"/>
            <w:right w:w="108" w:type="dxa"/>
          </w:tblCellMar>
        </w:tblPrEx>
        <w:trPr>
          <w:trHeight w:val="425"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第二十条第（五）项</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信息内容</w:t>
            </w:r>
          </w:p>
        </w:tc>
        <w:tc>
          <w:tcPr>
            <w:tcW w:w="237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上一年项目数量</w:t>
            </w:r>
          </w:p>
        </w:tc>
        <w:tc>
          <w:tcPr>
            <w:tcW w:w="204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本年增</w:t>
            </w:r>
            <w:r>
              <w:rPr>
                <w:rFonts w:ascii="黑体" w:hAnsi="黑体" w:eastAsia="黑体" w:cs="宋体"/>
                <w:color w:val="auto"/>
                <w:kern w:val="0"/>
                <w:sz w:val="24"/>
                <w:szCs w:val="24"/>
              </w:rPr>
              <w:t>/</w:t>
            </w:r>
            <w:r>
              <w:rPr>
                <w:rFonts w:hint="eastAsia" w:ascii="黑体" w:hAnsi="黑体" w:eastAsia="黑体" w:cs="宋体"/>
                <w:color w:val="auto"/>
                <w:kern w:val="0"/>
                <w:sz w:val="24"/>
                <w:szCs w:val="24"/>
              </w:rPr>
              <w:t>减</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处理决定数量</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left"/>
              <w:rPr>
                <w:color w:val="auto"/>
                <w:sz w:val="24"/>
                <w:szCs w:val="24"/>
              </w:rPr>
            </w:pPr>
            <w:r>
              <w:rPr>
                <w:rFonts w:hint="eastAsia" w:hAnsi="宋体" w:cs="宋体"/>
                <w:color w:val="auto"/>
                <w:kern w:val="0"/>
                <w:sz w:val="24"/>
                <w:szCs w:val="24"/>
              </w:rPr>
              <w:t>行政许可</w:t>
            </w:r>
          </w:p>
        </w:tc>
        <w:tc>
          <w:tcPr>
            <w:tcW w:w="2376"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color w:val="auto"/>
                <w:sz w:val="24"/>
                <w:szCs w:val="24"/>
                <w:lang w:val="en-US" w:eastAsia="zh-CN"/>
              </w:rPr>
              <w:t>306</w:t>
            </w:r>
          </w:p>
        </w:tc>
        <w:tc>
          <w:tcPr>
            <w:tcW w:w="2048"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eastAsia="zh-CN"/>
              </w:rPr>
              <w:t>增</w:t>
            </w:r>
            <w:r>
              <w:rPr>
                <w:rFonts w:hint="eastAsia" w:hAnsi="宋体" w:cs="宋体"/>
                <w:color w:val="auto"/>
                <w:kern w:val="0"/>
                <w:sz w:val="24"/>
                <w:szCs w:val="24"/>
                <w:lang w:val="en-US" w:eastAsia="zh-CN"/>
              </w:rPr>
              <w:t>25</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val="en-US" w:eastAsia="zh-CN"/>
              </w:rPr>
              <w:t>24361</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left"/>
              <w:rPr>
                <w:color w:val="auto"/>
                <w:sz w:val="24"/>
                <w:szCs w:val="24"/>
              </w:rPr>
            </w:pPr>
            <w:r>
              <w:rPr>
                <w:rFonts w:hint="eastAsia" w:hAnsi="宋体" w:cs="宋体"/>
                <w:color w:val="auto"/>
                <w:kern w:val="0"/>
                <w:sz w:val="24"/>
                <w:szCs w:val="24"/>
              </w:rPr>
              <w:t>其他对外管理服务事项</w:t>
            </w:r>
          </w:p>
        </w:tc>
        <w:tc>
          <w:tcPr>
            <w:tcW w:w="2376" w:type="dxa"/>
            <w:tcBorders>
              <w:top w:val="nil"/>
              <w:left w:val="nil"/>
              <w:bottom w:val="single" w:color="auto" w:sz="4" w:space="0"/>
              <w:right w:val="single" w:color="auto" w:sz="4" w:space="0"/>
            </w:tcBorders>
            <w:noWrap w:val="0"/>
            <w:vAlign w:val="center"/>
          </w:tcPr>
          <w:p>
            <w:pPr>
              <w:adjustRightInd w:val="0"/>
              <w:snapToGrid w:val="0"/>
              <w:jc w:val="center"/>
              <w:rPr>
                <w:rFonts w:hint="eastAsia" w:eastAsia="仿宋_GB2312"/>
                <w:color w:val="auto"/>
                <w:sz w:val="24"/>
                <w:szCs w:val="24"/>
                <w:lang w:val="en-US" w:eastAsia="zh-CN"/>
              </w:rPr>
            </w:pPr>
            <w:r>
              <w:rPr>
                <w:rFonts w:hint="eastAsia" w:hAnsi="宋体" w:cs="宋体"/>
                <w:color w:val="auto"/>
                <w:kern w:val="0"/>
                <w:sz w:val="24"/>
                <w:szCs w:val="24"/>
                <w:lang w:val="en-US" w:eastAsia="zh-CN"/>
              </w:rPr>
              <w:t>0</w:t>
            </w:r>
          </w:p>
        </w:tc>
        <w:tc>
          <w:tcPr>
            <w:tcW w:w="2048"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val="en-US" w:eastAsia="zh-CN"/>
              </w:rPr>
              <w:t>增152</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val="en-US" w:eastAsia="zh-CN"/>
              </w:rPr>
              <w:t>31522</w:t>
            </w:r>
          </w:p>
        </w:tc>
      </w:tr>
      <w:tr>
        <w:tblPrEx>
          <w:tblCellMar>
            <w:top w:w="0" w:type="dxa"/>
            <w:left w:w="108" w:type="dxa"/>
            <w:bottom w:w="0" w:type="dxa"/>
            <w:right w:w="108" w:type="dxa"/>
          </w:tblCellMar>
        </w:tblPrEx>
        <w:trPr>
          <w:trHeight w:val="425"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第二十条第（六）项</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信息内容</w:t>
            </w:r>
          </w:p>
        </w:tc>
        <w:tc>
          <w:tcPr>
            <w:tcW w:w="237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上一年项目数量</w:t>
            </w:r>
          </w:p>
        </w:tc>
        <w:tc>
          <w:tcPr>
            <w:tcW w:w="204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本年增</w:t>
            </w:r>
            <w:r>
              <w:rPr>
                <w:rFonts w:ascii="黑体" w:hAnsi="黑体" w:eastAsia="黑体" w:cs="宋体"/>
                <w:color w:val="auto"/>
                <w:kern w:val="0"/>
                <w:sz w:val="24"/>
                <w:szCs w:val="24"/>
              </w:rPr>
              <w:t>/</w:t>
            </w:r>
            <w:r>
              <w:rPr>
                <w:rFonts w:hint="eastAsia" w:ascii="黑体" w:hAnsi="黑体" w:eastAsia="黑体" w:cs="宋体"/>
                <w:color w:val="auto"/>
                <w:kern w:val="0"/>
                <w:sz w:val="24"/>
                <w:szCs w:val="24"/>
              </w:rPr>
              <w:t>减</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处理决定数量</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left"/>
              <w:rPr>
                <w:color w:val="auto"/>
                <w:sz w:val="24"/>
                <w:szCs w:val="24"/>
              </w:rPr>
            </w:pPr>
            <w:r>
              <w:rPr>
                <w:rFonts w:hint="eastAsia" w:hAnsi="宋体" w:cs="宋体"/>
                <w:color w:val="auto"/>
                <w:kern w:val="0"/>
                <w:sz w:val="24"/>
                <w:szCs w:val="24"/>
              </w:rPr>
              <w:t>行政处罚</w:t>
            </w:r>
          </w:p>
        </w:tc>
        <w:tc>
          <w:tcPr>
            <w:tcW w:w="2376"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val="en-US" w:eastAsia="zh-CN"/>
              </w:rPr>
              <w:t>2421</w:t>
            </w:r>
          </w:p>
        </w:tc>
        <w:tc>
          <w:tcPr>
            <w:tcW w:w="2048" w:type="dxa"/>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eastAsia="zh-CN"/>
              </w:rPr>
              <w:t>增</w:t>
            </w:r>
            <w:r>
              <w:rPr>
                <w:rFonts w:hint="eastAsia" w:hAnsi="宋体" w:cs="宋体"/>
                <w:color w:val="auto"/>
                <w:kern w:val="0"/>
                <w:sz w:val="24"/>
                <w:szCs w:val="24"/>
                <w:lang w:val="en-US" w:eastAsia="zh-CN"/>
              </w:rPr>
              <w:t>112</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val="en-US" w:eastAsia="zh-CN"/>
              </w:rPr>
              <w:t>2124</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left"/>
              <w:rPr>
                <w:color w:val="auto"/>
                <w:sz w:val="24"/>
                <w:szCs w:val="24"/>
              </w:rPr>
            </w:pPr>
            <w:r>
              <w:rPr>
                <w:rFonts w:hint="eastAsia" w:hAnsi="宋体" w:cs="宋体"/>
                <w:color w:val="auto"/>
                <w:kern w:val="0"/>
                <w:sz w:val="24"/>
                <w:szCs w:val="24"/>
              </w:rPr>
              <w:t>行政强制</w:t>
            </w:r>
          </w:p>
        </w:tc>
        <w:tc>
          <w:tcPr>
            <w:tcW w:w="2376"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val="en-US" w:eastAsia="zh-CN"/>
              </w:rPr>
              <w:t>114</w:t>
            </w:r>
          </w:p>
        </w:tc>
        <w:tc>
          <w:tcPr>
            <w:tcW w:w="2048"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eastAsia="zh-CN"/>
              </w:rPr>
              <w:t>减</w:t>
            </w:r>
            <w:r>
              <w:rPr>
                <w:rFonts w:hint="eastAsia" w:hAnsi="宋体" w:cs="宋体"/>
                <w:color w:val="auto"/>
                <w:kern w:val="0"/>
                <w:sz w:val="24"/>
                <w:szCs w:val="24"/>
                <w:lang w:val="en-US" w:eastAsia="zh-CN"/>
              </w:rPr>
              <w:t>10</w:t>
            </w:r>
          </w:p>
        </w:tc>
        <w:tc>
          <w:tcPr>
            <w:tcW w:w="1850"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val="en-US" w:eastAsia="zh-CN"/>
              </w:rPr>
              <w:t>108</w:t>
            </w:r>
          </w:p>
        </w:tc>
      </w:tr>
      <w:tr>
        <w:tblPrEx>
          <w:tblCellMar>
            <w:top w:w="0" w:type="dxa"/>
            <w:left w:w="108" w:type="dxa"/>
            <w:bottom w:w="0" w:type="dxa"/>
            <w:right w:w="108" w:type="dxa"/>
          </w:tblCellMar>
        </w:tblPrEx>
        <w:trPr>
          <w:trHeight w:val="425"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第二十条第（八）项</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信息内容</w:t>
            </w:r>
          </w:p>
        </w:tc>
        <w:tc>
          <w:tcPr>
            <w:tcW w:w="2376" w:type="dxa"/>
            <w:tcBorders>
              <w:top w:val="nil"/>
              <w:left w:val="nil"/>
              <w:bottom w:val="single" w:color="auto" w:sz="4" w:space="0"/>
              <w:right w:val="single" w:color="auto" w:sz="4" w:space="0"/>
            </w:tcBorders>
            <w:noWrap w:val="0"/>
            <w:vAlign w:val="center"/>
          </w:tcPr>
          <w:p>
            <w:pPr>
              <w:adjustRightInd w:val="0"/>
              <w:snapToGrid w:val="0"/>
              <w:jc w:val="left"/>
              <w:rPr>
                <w:rFonts w:ascii="黑体" w:hAnsi="黑体" w:eastAsia="黑体"/>
                <w:color w:val="auto"/>
                <w:sz w:val="24"/>
                <w:szCs w:val="24"/>
              </w:rPr>
            </w:pPr>
            <w:r>
              <w:rPr>
                <w:rFonts w:hint="eastAsia" w:ascii="黑体" w:hAnsi="黑体" w:eastAsia="黑体" w:cs="宋体"/>
                <w:color w:val="auto"/>
                <w:kern w:val="0"/>
                <w:sz w:val="24"/>
                <w:szCs w:val="24"/>
              </w:rPr>
              <w:t>上一年项目数量</w:t>
            </w:r>
          </w:p>
        </w:tc>
        <w:tc>
          <w:tcPr>
            <w:tcW w:w="3898" w:type="dxa"/>
            <w:gridSpan w:val="2"/>
            <w:tcBorders>
              <w:top w:val="single" w:color="auto" w:sz="4" w:space="0"/>
              <w:left w:val="nil"/>
              <w:bottom w:val="single" w:color="auto" w:sz="4" w:space="0"/>
              <w:right w:val="single" w:color="000000" w:sz="4" w:space="0"/>
            </w:tcBorders>
            <w:noWrap w:val="0"/>
            <w:vAlign w:val="center"/>
          </w:tcPr>
          <w:p>
            <w:pPr>
              <w:adjustRightInd w:val="0"/>
              <w:snapToGrid w:val="0"/>
              <w:jc w:val="center"/>
              <w:rPr>
                <w:rFonts w:ascii="黑体" w:hAnsi="黑体" w:eastAsia="黑体"/>
                <w:color w:val="auto"/>
                <w:sz w:val="24"/>
                <w:szCs w:val="24"/>
              </w:rPr>
            </w:pPr>
            <w:r>
              <w:rPr>
                <w:rFonts w:hint="eastAsia" w:ascii="黑体" w:hAnsi="黑体" w:eastAsia="黑体" w:cs="宋体"/>
                <w:color w:val="auto"/>
                <w:kern w:val="0"/>
                <w:sz w:val="24"/>
                <w:szCs w:val="24"/>
              </w:rPr>
              <w:t>本年增</w:t>
            </w:r>
            <w:r>
              <w:rPr>
                <w:rFonts w:ascii="黑体" w:hAnsi="黑体" w:eastAsia="黑体" w:cs="宋体"/>
                <w:color w:val="auto"/>
                <w:kern w:val="0"/>
                <w:sz w:val="24"/>
                <w:szCs w:val="24"/>
              </w:rPr>
              <w:t>/</w:t>
            </w:r>
            <w:r>
              <w:rPr>
                <w:rFonts w:hint="eastAsia" w:ascii="黑体" w:hAnsi="黑体" w:eastAsia="黑体" w:cs="宋体"/>
                <w:color w:val="auto"/>
                <w:kern w:val="0"/>
                <w:sz w:val="24"/>
                <w:szCs w:val="24"/>
              </w:rPr>
              <w:t>减</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left"/>
              <w:rPr>
                <w:color w:val="auto"/>
                <w:sz w:val="24"/>
                <w:szCs w:val="24"/>
              </w:rPr>
            </w:pPr>
            <w:r>
              <w:rPr>
                <w:rFonts w:hint="eastAsia" w:hAnsi="宋体" w:cs="宋体"/>
                <w:color w:val="auto"/>
                <w:kern w:val="0"/>
                <w:sz w:val="24"/>
                <w:szCs w:val="24"/>
              </w:rPr>
              <w:t>行政事业性收费</w:t>
            </w:r>
          </w:p>
        </w:tc>
        <w:tc>
          <w:tcPr>
            <w:tcW w:w="2376"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color w:val="auto"/>
                <w:sz w:val="24"/>
                <w:szCs w:val="24"/>
                <w:lang w:val="en-US" w:eastAsia="zh-CN"/>
              </w:rPr>
              <w:t>37</w:t>
            </w:r>
          </w:p>
        </w:tc>
        <w:tc>
          <w:tcPr>
            <w:tcW w:w="3898" w:type="dxa"/>
            <w:gridSpan w:val="2"/>
            <w:tcBorders>
              <w:top w:val="single" w:color="auto" w:sz="4" w:space="0"/>
              <w:left w:val="nil"/>
              <w:bottom w:val="single" w:color="auto" w:sz="4" w:space="0"/>
              <w:right w:val="single" w:color="000000"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color w:val="auto"/>
                <w:sz w:val="24"/>
                <w:szCs w:val="24"/>
                <w:lang w:eastAsia="zh-CN"/>
              </w:rPr>
              <w:t>增</w:t>
            </w:r>
            <w:r>
              <w:rPr>
                <w:rFonts w:hint="eastAsia"/>
                <w:color w:val="auto"/>
                <w:sz w:val="24"/>
                <w:szCs w:val="24"/>
                <w:lang w:val="en-US" w:eastAsia="zh-CN"/>
              </w:rPr>
              <w:t>14</w:t>
            </w:r>
          </w:p>
        </w:tc>
      </w:tr>
      <w:tr>
        <w:tblPrEx>
          <w:tblCellMar>
            <w:top w:w="0" w:type="dxa"/>
            <w:left w:w="108" w:type="dxa"/>
            <w:bottom w:w="0" w:type="dxa"/>
            <w:right w:w="108" w:type="dxa"/>
          </w:tblCellMar>
        </w:tblPrEx>
        <w:trPr>
          <w:trHeight w:val="425" w:hRule="atLeast"/>
          <w:jc w:val="center"/>
        </w:trPr>
        <w:tc>
          <w:tcPr>
            <w:tcW w:w="906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color w:val="auto"/>
                <w:sz w:val="24"/>
                <w:szCs w:val="24"/>
              </w:rPr>
            </w:pPr>
            <w:r>
              <w:rPr>
                <w:rFonts w:hint="eastAsia" w:ascii="黑体" w:hAnsi="宋体" w:eastAsia="黑体" w:cs="宋体"/>
                <w:color w:val="auto"/>
                <w:kern w:val="0"/>
                <w:sz w:val="24"/>
                <w:szCs w:val="24"/>
              </w:rPr>
              <w:t>第二十条第（九）项</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center"/>
              <w:rPr>
                <w:rFonts w:ascii="黑体" w:eastAsia="黑体"/>
                <w:color w:val="auto"/>
                <w:sz w:val="24"/>
                <w:szCs w:val="24"/>
              </w:rPr>
            </w:pPr>
            <w:r>
              <w:rPr>
                <w:rFonts w:hint="eastAsia" w:ascii="黑体" w:hAnsi="宋体" w:eastAsia="黑体" w:cs="宋体"/>
                <w:color w:val="auto"/>
                <w:kern w:val="0"/>
                <w:sz w:val="24"/>
                <w:szCs w:val="24"/>
              </w:rPr>
              <w:t>信息内容</w:t>
            </w:r>
          </w:p>
        </w:tc>
        <w:tc>
          <w:tcPr>
            <w:tcW w:w="2376" w:type="dxa"/>
            <w:tcBorders>
              <w:top w:val="nil"/>
              <w:left w:val="nil"/>
              <w:bottom w:val="single" w:color="auto" w:sz="4" w:space="0"/>
              <w:right w:val="single" w:color="auto" w:sz="4" w:space="0"/>
            </w:tcBorders>
            <w:noWrap w:val="0"/>
            <w:vAlign w:val="center"/>
          </w:tcPr>
          <w:p>
            <w:pPr>
              <w:adjustRightInd w:val="0"/>
              <w:snapToGrid w:val="0"/>
              <w:jc w:val="center"/>
              <w:rPr>
                <w:rFonts w:ascii="黑体" w:eastAsia="黑体"/>
                <w:color w:val="auto"/>
                <w:sz w:val="24"/>
                <w:szCs w:val="24"/>
              </w:rPr>
            </w:pPr>
            <w:r>
              <w:rPr>
                <w:rFonts w:hint="eastAsia" w:ascii="黑体" w:hAnsi="宋体" w:eastAsia="黑体" w:cs="宋体"/>
                <w:color w:val="auto"/>
                <w:kern w:val="0"/>
                <w:sz w:val="24"/>
                <w:szCs w:val="24"/>
              </w:rPr>
              <w:t>采购项目数量</w:t>
            </w:r>
          </w:p>
        </w:tc>
        <w:tc>
          <w:tcPr>
            <w:tcW w:w="3898" w:type="dxa"/>
            <w:gridSpan w:val="2"/>
            <w:tcBorders>
              <w:top w:val="single" w:color="auto" w:sz="4" w:space="0"/>
              <w:left w:val="nil"/>
              <w:bottom w:val="single" w:color="auto" w:sz="4" w:space="0"/>
              <w:right w:val="single" w:color="000000" w:sz="4" w:space="0"/>
            </w:tcBorders>
            <w:noWrap w:val="0"/>
            <w:vAlign w:val="center"/>
          </w:tcPr>
          <w:p>
            <w:pPr>
              <w:adjustRightInd w:val="0"/>
              <w:snapToGrid w:val="0"/>
              <w:jc w:val="center"/>
              <w:rPr>
                <w:rFonts w:ascii="黑体" w:eastAsia="黑体"/>
                <w:color w:val="auto"/>
                <w:sz w:val="24"/>
                <w:szCs w:val="24"/>
              </w:rPr>
            </w:pPr>
            <w:r>
              <w:rPr>
                <w:rFonts w:hint="eastAsia" w:ascii="黑体" w:hAnsi="宋体" w:eastAsia="黑体" w:cs="宋体"/>
                <w:color w:val="auto"/>
                <w:kern w:val="0"/>
                <w:sz w:val="24"/>
                <w:szCs w:val="24"/>
              </w:rPr>
              <w:t>采购总金额</w:t>
            </w:r>
          </w:p>
        </w:tc>
      </w:tr>
      <w:tr>
        <w:tblPrEx>
          <w:tblCellMar>
            <w:top w:w="0" w:type="dxa"/>
            <w:left w:w="108" w:type="dxa"/>
            <w:bottom w:w="0" w:type="dxa"/>
            <w:right w:w="108" w:type="dxa"/>
          </w:tblCellMar>
        </w:tblPrEx>
        <w:trPr>
          <w:trHeight w:val="425" w:hRule="atLeast"/>
          <w:jc w:val="center"/>
        </w:trPr>
        <w:tc>
          <w:tcPr>
            <w:tcW w:w="2786" w:type="dxa"/>
            <w:tcBorders>
              <w:top w:val="nil"/>
              <w:left w:val="single" w:color="auto" w:sz="4" w:space="0"/>
              <w:bottom w:val="single" w:color="auto" w:sz="4" w:space="0"/>
              <w:right w:val="single" w:color="auto" w:sz="4" w:space="0"/>
            </w:tcBorders>
            <w:noWrap w:val="0"/>
            <w:vAlign w:val="center"/>
          </w:tcPr>
          <w:p>
            <w:pPr>
              <w:adjustRightInd w:val="0"/>
              <w:snapToGrid w:val="0"/>
              <w:jc w:val="left"/>
              <w:rPr>
                <w:color w:val="auto"/>
                <w:sz w:val="24"/>
                <w:szCs w:val="24"/>
              </w:rPr>
            </w:pPr>
            <w:r>
              <w:rPr>
                <w:rFonts w:hint="eastAsia" w:hAnsi="宋体" w:cs="宋体"/>
                <w:color w:val="auto"/>
                <w:kern w:val="0"/>
                <w:sz w:val="24"/>
                <w:szCs w:val="24"/>
              </w:rPr>
              <w:t>政府集中采购</w:t>
            </w:r>
          </w:p>
        </w:tc>
        <w:tc>
          <w:tcPr>
            <w:tcW w:w="2376" w:type="dxa"/>
            <w:tcBorders>
              <w:top w:val="nil"/>
              <w:left w:val="nil"/>
              <w:bottom w:val="single" w:color="auto" w:sz="4" w:space="0"/>
              <w:right w:val="single" w:color="auto" w:sz="4" w:space="0"/>
            </w:tcBorders>
            <w:noWrap w:val="0"/>
            <w:vAlign w:val="center"/>
          </w:tcPr>
          <w:p>
            <w:pPr>
              <w:adjustRightInd w:val="0"/>
              <w:snapToGrid w:val="0"/>
              <w:jc w:val="center"/>
              <w:rPr>
                <w:rFonts w:hint="default" w:eastAsia="仿宋_GB2312"/>
                <w:color w:val="auto"/>
                <w:sz w:val="24"/>
                <w:szCs w:val="24"/>
                <w:lang w:val="en-US" w:eastAsia="zh-CN"/>
              </w:rPr>
            </w:pPr>
            <w:r>
              <w:rPr>
                <w:rFonts w:hint="eastAsia" w:hAnsi="宋体" w:cs="宋体"/>
                <w:color w:val="auto"/>
                <w:kern w:val="0"/>
                <w:sz w:val="24"/>
                <w:szCs w:val="24"/>
                <w:lang w:val="en-US" w:eastAsia="zh-CN"/>
              </w:rPr>
              <w:t>80</w:t>
            </w:r>
          </w:p>
        </w:tc>
        <w:tc>
          <w:tcPr>
            <w:tcW w:w="3898" w:type="dxa"/>
            <w:gridSpan w:val="2"/>
            <w:tcBorders>
              <w:top w:val="single" w:color="auto" w:sz="4" w:space="0"/>
              <w:left w:val="nil"/>
              <w:bottom w:val="single" w:color="auto" w:sz="4" w:space="0"/>
              <w:right w:val="single" w:color="000000" w:sz="4" w:space="0"/>
            </w:tcBorders>
            <w:noWrap w:val="0"/>
            <w:vAlign w:val="center"/>
          </w:tcPr>
          <w:p>
            <w:pPr>
              <w:adjustRightInd w:val="0"/>
              <w:snapToGrid w:val="0"/>
              <w:jc w:val="center"/>
              <w:rPr>
                <w:rFonts w:hint="default" w:hAnsi="宋体" w:eastAsia="仿宋_GB2312" w:cs="宋体"/>
                <w:color w:val="auto"/>
                <w:sz w:val="24"/>
                <w:szCs w:val="24"/>
                <w:lang w:val="en-US" w:eastAsia="zh-CN"/>
              </w:rPr>
            </w:pPr>
            <w:r>
              <w:rPr>
                <w:rFonts w:hint="eastAsia" w:hAnsi="宋体" w:cs="宋体"/>
                <w:color w:val="auto"/>
                <w:sz w:val="24"/>
                <w:szCs w:val="24"/>
                <w:lang w:val="en-US" w:eastAsia="zh-CN"/>
              </w:rPr>
              <w:t>1.3亿</w:t>
            </w:r>
          </w:p>
        </w:tc>
      </w:tr>
    </w:tbl>
    <w:p>
      <w:pPr>
        <w:pStyle w:val="2"/>
        <w:spacing w:line="560" w:lineRule="exact"/>
        <w:ind w:firstLine="640" w:firstLineChars="200"/>
        <w:jc w:val="both"/>
        <w:rPr>
          <w:rFonts w:hint="eastAsia" w:ascii="黑体" w:hAnsi="黑体" w:eastAsia="黑体" w:cs="黑体"/>
          <w:bCs/>
          <w:color w:val="auto"/>
          <w:sz w:val="32"/>
          <w:szCs w:val="32"/>
        </w:rPr>
      </w:pPr>
    </w:p>
    <w:p>
      <w:pPr>
        <w:pStyle w:val="2"/>
        <w:spacing w:line="560" w:lineRule="exact"/>
        <w:ind w:firstLine="640" w:firstLineChars="200"/>
        <w:jc w:val="both"/>
        <w:rPr>
          <w:rFonts w:hint="eastAsia" w:ascii="黑体" w:hAnsi="黑体" w:eastAsia="黑体" w:cs="黑体"/>
          <w:bCs/>
          <w:color w:val="auto"/>
          <w:sz w:val="32"/>
          <w:szCs w:val="32"/>
        </w:rPr>
      </w:pPr>
    </w:p>
    <w:p>
      <w:pPr>
        <w:pStyle w:val="2"/>
        <w:spacing w:line="560" w:lineRule="exact"/>
        <w:ind w:firstLine="640" w:firstLineChars="200"/>
        <w:jc w:val="both"/>
        <w:rPr>
          <w:rFonts w:hint="eastAsia" w:ascii="黑体" w:hAnsi="黑体" w:eastAsia="黑体" w:cs="黑体"/>
          <w:bCs/>
          <w:color w:val="auto"/>
          <w:sz w:val="32"/>
          <w:szCs w:val="32"/>
        </w:rPr>
      </w:pPr>
    </w:p>
    <w:p>
      <w:pPr>
        <w:pStyle w:val="2"/>
        <w:spacing w:line="560" w:lineRule="exact"/>
        <w:ind w:firstLine="640" w:firstLineChars="200"/>
        <w:jc w:val="both"/>
        <w:rPr>
          <w:rFonts w:hint="eastAsia" w:ascii="黑体" w:hAnsi="黑体" w:eastAsia="黑体" w:cs="黑体"/>
          <w:bCs/>
          <w:color w:val="auto"/>
          <w:sz w:val="32"/>
          <w:szCs w:val="32"/>
        </w:rPr>
      </w:pPr>
    </w:p>
    <w:p>
      <w:pPr>
        <w:pStyle w:val="2"/>
        <w:spacing w:line="560" w:lineRule="exact"/>
        <w:ind w:firstLine="640" w:firstLineChars="200"/>
        <w:jc w:val="both"/>
        <w:rPr>
          <w:rFonts w:hint="eastAsia" w:ascii="黑体" w:hAnsi="黑体" w:eastAsia="黑体" w:cs="黑体"/>
          <w:bCs/>
          <w:color w:val="auto"/>
          <w:sz w:val="32"/>
          <w:szCs w:val="32"/>
        </w:rPr>
      </w:pPr>
    </w:p>
    <w:p>
      <w:pPr>
        <w:pStyle w:val="2"/>
        <w:spacing w:line="560" w:lineRule="exact"/>
        <w:ind w:firstLine="640" w:firstLineChars="200"/>
        <w:jc w:val="both"/>
        <w:rPr>
          <w:rFonts w:hint="eastAsia" w:ascii="黑体" w:hAnsi="黑体" w:eastAsia="黑体" w:cs="黑体"/>
          <w:bCs/>
          <w:color w:val="auto"/>
          <w:sz w:val="32"/>
          <w:szCs w:val="32"/>
        </w:rPr>
      </w:pPr>
      <w:bookmarkStart w:id="0" w:name="_GoBack"/>
      <w:bookmarkEnd w:id="0"/>
    </w:p>
    <w:p>
      <w:pPr>
        <w:pStyle w:val="2"/>
        <w:spacing w:line="560" w:lineRule="exact"/>
        <w:ind w:firstLine="640" w:firstLineChars="200"/>
        <w:jc w:val="both"/>
        <w:rPr>
          <w:rFonts w:ascii="黑体" w:hAnsi="黑体" w:eastAsia="黑体" w:cs="黑体"/>
          <w:bCs/>
          <w:color w:val="auto"/>
          <w:sz w:val="32"/>
          <w:szCs w:val="32"/>
        </w:rPr>
      </w:pPr>
      <w:r>
        <w:rPr>
          <w:rFonts w:hint="eastAsia" w:ascii="黑体" w:hAnsi="黑体" w:eastAsia="黑体" w:cs="黑体"/>
          <w:bCs/>
          <w:color w:val="auto"/>
          <w:sz w:val="32"/>
          <w:szCs w:val="32"/>
        </w:rPr>
        <w:t>三、收到和处理政府信息公开申请情况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688"/>
        <w:gridCol w:w="2529"/>
        <w:gridCol w:w="581"/>
        <w:gridCol w:w="7"/>
        <w:gridCol w:w="687"/>
        <w:gridCol w:w="7"/>
        <w:gridCol w:w="709"/>
        <w:gridCol w:w="899"/>
        <w:gridCol w:w="885"/>
        <w:gridCol w:w="1"/>
        <w:gridCol w:w="698"/>
        <w:gridCol w:w="1"/>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905" w:type="dxa"/>
            <w:gridSpan w:val="3"/>
            <w:vMerge w:val="restart"/>
            <w:noWrap w:val="0"/>
            <w:vAlign w:val="center"/>
          </w:tcPr>
          <w:p>
            <w:pPr>
              <w:adjustRightInd w:val="0"/>
              <w:snapToGrid w:val="0"/>
              <w:rPr>
                <w:rFonts w:ascii="黑体" w:eastAsia="黑体"/>
                <w:color w:val="auto"/>
                <w:spacing w:val="-8"/>
                <w:sz w:val="24"/>
              </w:rPr>
            </w:pPr>
            <w:r>
              <w:rPr>
                <w:rFonts w:hint="eastAsia" w:ascii="黑体" w:eastAsia="黑体"/>
                <w:color w:val="auto"/>
                <w:spacing w:val="-8"/>
                <w:sz w:val="24"/>
              </w:rPr>
              <w:t>（本列数据的勾稽关系为：第一项加第二项之和，等于第三项加第四项之和）</w:t>
            </w:r>
          </w:p>
        </w:tc>
        <w:tc>
          <w:tcPr>
            <w:tcW w:w="5155" w:type="dxa"/>
            <w:gridSpan w:val="11"/>
            <w:tcBorders>
              <w:left w:val="nil"/>
            </w:tcBorders>
            <w:noWrap w:val="0"/>
            <w:vAlign w:val="center"/>
          </w:tcPr>
          <w:p>
            <w:pPr>
              <w:adjustRightInd w:val="0"/>
              <w:snapToGrid w:val="0"/>
              <w:jc w:val="center"/>
              <w:rPr>
                <w:rFonts w:ascii="黑体" w:eastAsia="黑体"/>
                <w:color w:val="auto"/>
                <w:sz w:val="24"/>
              </w:rPr>
            </w:pPr>
            <w:r>
              <w:rPr>
                <w:rFonts w:hint="eastAsia" w:ascii="黑体" w:eastAsia="黑体"/>
                <w:color w:val="auto"/>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905" w:type="dxa"/>
            <w:gridSpan w:val="3"/>
            <w:vMerge w:val="continue"/>
            <w:noWrap w:val="0"/>
            <w:vAlign w:val="center"/>
          </w:tcPr>
          <w:p>
            <w:pPr>
              <w:adjustRightInd w:val="0"/>
              <w:snapToGrid w:val="0"/>
              <w:jc w:val="left"/>
              <w:rPr>
                <w:rFonts w:ascii="黑体" w:hAnsi="宋体" w:eastAsia="黑体" w:cs="宋体"/>
                <w:color w:val="auto"/>
                <w:sz w:val="24"/>
              </w:rPr>
            </w:pPr>
          </w:p>
        </w:tc>
        <w:tc>
          <w:tcPr>
            <w:tcW w:w="581" w:type="dxa"/>
            <w:vMerge w:val="restart"/>
            <w:tcBorders>
              <w:top w:val="nil"/>
              <w:left w:val="nil"/>
            </w:tcBorders>
            <w:noWrap w:val="0"/>
            <w:vAlign w:val="center"/>
          </w:tcPr>
          <w:p>
            <w:pPr>
              <w:adjustRightInd w:val="0"/>
              <w:snapToGrid w:val="0"/>
              <w:jc w:val="center"/>
              <w:rPr>
                <w:rFonts w:ascii="黑体" w:eastAsia="黑体"/>
                <w:color w:val="auto"/>
                <w:sz w:val="24"/>
              </w:rPr>
            </w:pPr>
            <w:r>
              <w:rPr>
                <w:rFonts w:hint="eastAsia" w:ascii="黑体" w:eastAsia="黑体"/>
                <w:color w:val="auto"/>
                <w:sz w:val="24"/>
              </w:rPr>
              <w:t>自然人</w:t>
            </w:r>
          </w:p>
        </w:tc>
        <w:tc>
          <w:tcPr>
            <w:tcW w:w="3893" w:type="dxa"/>
            <w:gridSpan w:val="8"/>
            <w:tcBorders>
              <w:left w:val="nil"/>
            </w:tcBorders>
            <w:noWrap w:val="0"/>
            <w:vAlign w:val="center"/>
          </w:tcPr>
          <w:p>
            <w:pPr>
              <w:adjustRightInd w:val="0"/>
              <w:snapToGrid w:val="0"/>
              <w:jc w:val="center"/>
              <w:rPr>
                <w:rFonts w:ascii="黑体" w:eastAsia="黑体"/>
                <w:color w:val="auto"/>
                <w:sz w:val="24"/>
              </w:rPr>
            </w:pPr>
            <w:r>
              <w:rPr>
                <w:rFonts w:hint="eastAsia" w:ascii="黑体" w:eastAsia="黑体"/>
                <w:color w:val="auto"/>
                <w:sz w:val="24"/>
              </w:rPr>
              <w:t>法人或其他组织</w:t>
            </w:r>
          </w:p>
        </w:tc>
        <w:tc>
          <w:tcPr>
            <w:tcW w:w="681" w:type="dxa"/>
            <w:gridSpan w:val="2"/>
            <w:vMerge w:val="restart"/>
            <w:tcBorders>
              <w:left w:val="nil"/>
            </w:tcBorders>
            <w:noWrap w:val="0"/>
            <w:vAlign w:val="center"/>
          </w:tcPr>
          <w:p>
            <w:pPr>
              <w:adjustRightInd w:val="0"/>
              <w:snapToGrid w:val="0"/>
              <w:jc w:val="center"/>
              <w:rPr>
                <w:rFonts w:ascii="黑体" w:eastAsia="黑体"/>
                <w:color w:val="auto"/>
                <w:sz w:val="24"/>
              </w:rPr>
            </w:pPr>
            <w:r>
              <w:rPr>
                <w:rFonts w:hint="eastAsia" w:ascii="黑体" w:eastAsia="黑体"/>
                <w:color w:val="auto"/>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905" w:type="dxa"/>
            <w:gridSpan w:val="3"/>
            <w:vMerge w:val="continue"/>
            <w:noWrap w:val="0"/>
            <w:vAlign w:val="center"/>
          </w:tcPr>
          <w:p>
            <w:pPr>
              <w:adjustRightInd w:val="0"/>
              <w:snapToGrid w:val="0"/>
              <w:jc w:val="left"/>
              <w:rPr>
                <w:rFonts w:ascii="黑体" w:hAnsi="宋体" w:eastAsia="黑体" w:cs="宋体"/>
                <w:color w:val="auto"/>
                <w:sz w:val="24"/>
              </w:rPr>
            </w:pPr>
          </w:p>
        </w:tc>
        <w:tc>
          <w:tcPr>
            <w:tcW w:w="581" w:type="dxa"/>
            <w:vMerge w:val="continue"/>
            <w:tcBorders>
              <w:top w:val="nil"/>
              <w:left w:val="nil"/>
            </w:tcBorders>
            <w:noWrap w:val="0"/>
            <w:vAlign w:val="center"/>
          </w:tcPr>
          <w:p>
            <w:pPr>
              <w:adjustRightInd w:val="0"/>
              <w:snapToGrid w:val="0"/>
              <w:jc w:val="left"/>
              <w:rPr>
                <w:rFonts w:ascii="黑体" w:hAnsi="宋体" w:eastAsia="黑体" w:cs="宋体"/>
                <w:color w:val="auto"/>
                <w:sz w:val="24"/>
              </w:rPr>
            </w:pPr>
          </w:p>
        </w:tc>
        <w:tc>
          <w:tcPr>
            <w:tcW w:w="694" w:type="dxa"/>
            <w:gridSpan w:val="2"/>
            <w:tcBorders>
              <w:left w:val="nil"/>
            </w:tcBorders>
            <w:noWrap w:val="0"/>
            <w:vAlign w:val="center"/>
          </w:tcPr>
          <w:p>
            <w:pPr>
              <w:adjustRightInd w:val="0"/>
              <w:snapToGrid w:val="0"/>
              <w:jc w:val="center"/>
              <w:rPr>
                <w:rFonts w:ascii="黑体" w:eastAsia="黑体"/>
                <w:color w:val="auto"/>
                <w:sz w:val="24"/>
              </w:rPr>
            </w:pPr>
            <w:r>
              <w:rPr>
                <w:rFonts w:hint="eastAsia" w:ascii="黑体" w:eastAsia="黑体"/>
                <w:color w:val="auto"/>
                <w:sz w:val="24"/>
              </w:rPr>
              <w:t>商业企业</w:t>
            </w:r>
          </w:p>
        </w:tc>
        <w:tc>
          <w:tcPr>
            <w:tcW w:w="716" w:type="dxa"/>
            <w:gridSpan w:val="2"/>
            <w:tcBorders>
              <w:left w:val="nil"/>
            </w:tcBorders>
            <w:noWrap w:val="0"/>
            <w:vAlign w:val="center"/>
          </w:tcPr>
          <w:p>
            <w:pPr>
              <w:adjustRightInd w:val="0"/>
              <w:snapToGrid w:val="0"/>
              <w:jc w:val="center"/>
              <w:rPr>
                <w:rFonts w:ascii="黑体" w:eastAsia="黑体"/>
                <w:color w:val="auto"/>
                <w:sz w:val="24"/>
              </w:rPr>
            </w:pPr>
            <w:r>
              <w:rPr>
                <w:rFonts w:hint="eastAsia" w:ascii="黑体" w:eastAsia="黑体"/>
                <w:color w:val="auto"/>
                <w:sz w:val="24"/>
              </w:rPr>
              <w:t>科研机构</w:t>
            </w:r>
          </w:p>
        </w:tc>
        <w:tc>
          <w:tcPr>
            <w:tcW w:w="899" w:type="dxa"/>
            <w:tcBorders>
              <w:left w:val="nil"/>
            </w:tcBorders>
            <w:noWrap w:val="0"/>
            <w:vAlign w:val="center"/>
          </w:tcPr>
          <w:p>
            <w:pPr>
              <w:adjustRightInd w:val="0"/>
              <w:snapToGrid w:val="0"/>
              <w:ind w:left="-63" w:leftChars="-30" w:right="-63" w:rightChars="-30"/>
              <w:jc w:val="center"/>
              <w:rPr>
                <w:rFonts w:ascii="黑体" w:eastAsia="黑体"/>
                <w:color w:val="auto"/>
                <w:sz w:val="24"/>
              </w:rPr>
            </w:pPr>
            <w:r>
              <w:rPr>
                <w:rFonts w:hint="eastAsia" w:ascii="黑体" w:eastAsia="黑体"/>
                <w:color w:val="auto"/>
                <w:sz w:val="24"/>
              </w:rPr>
              <w:t>社会公益组织</w:t>
            </w:r>
          </w:p>
        </w:tc>
        <w:tc>
          <w:tcPr>
            <w:tcW w:w="885" w:type="dxa"/>
            <w:tcBorders>
              <w:left w:val="nil"/>
            </w:tcBorders>
            <w:noWrap w:val="0"/>
            <w:vAlign w:val="center"/>
          </w:tcPr>
          <w:p>
            <w:pPr>
              <w:adjustRightInd w:val="0"/>
              <w:snapToGrid w:val="0"/>
              <w:ind w:left="-63" w:leftChars="-30" w:right="-63" w:rightChars="-30"/>
              <w:jc w:val="center"/>
              <w:rPr>
                <w:rFonts w:ascii="黑体" w:eastAsia="黑体"/>
                <w:color w:val="auto"/>
                <w:sz w:val="24"/>
              </w:rPr>
            </w:pPr>
            <w:r>
              <w:rPr>
                <w:rFonts w:hint="eastAsia" w:ascii="黑体" w:eastAsia="黑体"/>
                <w:color w:val="auto"/>
                <w:sz w:val="24"/>
              </w:rPr>
              <w:t>法律服务机构</w:t>
            </w:r>
          </w:p>
        </w:tc>
        <w:tc>
          <w:tcPr>
            <w:tcW w:w="699" w:type="dxa"/>
            <w:gridSpan w:val="2"/>
            <w:tcBorders>
              <w:left w:val="nil"/>
            </w:tcBorders>
            <w:noWrap w:val="0"/>
            <w:vAlign w:val="center"/>
          </w:tcPr>
          <w:p>
            <w:pPr>
              <w:adjustRightInd w:val="0"/>
              <w:snapToGrid w:val="0"/>
              <w:jc w:val="center"/>
              <w:rPr>
                <w:rFonts w:ascii="黑体" w:eastAsia="黑体"/>
                <w:color w:val="auto"/>
                <w:sz w:val="24"/>
              </w:rPr>
            </w:pPr>
            <w:r>
              <w:rPr>
                <w:rFonts w:hint="eastAsia" w:ascii="黑体" w:eastAsia="黑体"/>
                <w:color w:val="auto"/>
                <w:sz w:val="24"/>
              </w:rPr>
              <w:t>其他</w:t>
            </w:r>
          </w:p>
        </w:tc>
        <w:tc>
          <w:tcPr>
            <w:tcW w:w="681" w:type="dxa"/>
            <w:gridSpan w:val="2"/>
            <w:vMerge w:val="continue"/>
            <w:tcBorders>
              <w:left w:val="nil"/>
            </w:tcBorders>
            <w:noWrap w:val="0"/>
            <w:vAlign w:val="center"/>
          </w:tcPr>
          <w:p>
            <w:pPr>
              <w:adjustRightInd w:val="0"/>
              <w:snapToGrid w:val="0"/>
              <w:jc w:val="left"/>
              <w:rPr>
                <w:rFonts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5" w:type="dxa"/>
            <w:gridSpan w:val="3"/>
            <w:noWrap w:val="0"/>
            <w:vAlign w:val="center"/>
          </w:tcPr>
          <w:p>
            <w:pPr>
              <w:adjustRightInd w:val="0"/>
              <w:snapToGrid w:val="0"/>
              <w:jc w:val="left"/>
              <w:rPr>
                <w:color w:val="auto"/>
                <w:sz w:val="24"/>
              </w:rPr>
            </w:pPr>
            <w:r>
              <w:rPr>
                <w:rFonts w:hint="eastAsia"/>
                <w:color w:val="auto"/>
                <w:sz w:val="24"/>
              </w:rPr>
              <w:t>一、本年新收政府信息公开申请数量</w:t>
            </w:r>
          </w:p>
        </w:tc>
        <w:tc>
          <w:tcPr>
            <w:tcW w:w="581" w:type="dxa"/>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36</w:t>
            </w:r>
          </w:p>
        </w:tc>
        <w:tc>
          <w:tcPr>
            <w:tcW w:w="694" w:type="dxa"/>
            <w:gridSpan w:val="2"/>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12</w:t>
            </w:r>
          </w:p>
        </w:tc>
        <w:tc>
          <w:tcPr>
            <w:tcW w:w="716"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85"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81" w:type="dxa"/>
            <w:gridSpan w:val="2"/>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5" w:type="dxa"/>
            <w:gridSpan w:val="3"/>
            <w:noWrap w:val="0"/>
            <w:vAlign w:val="center"/>
          </w:tcPr>
          <w:p>
            <w:pPr>
              <w:adjustRightInd w:val="0"/>
              <w:snapToGrid w:val="0"/>
              <w:jc w:val="left"/>
              <w:rPr>
                <w:color w:val="auto"/>
                <w:sz w:val="24"/>
              </w:rPr>
            </w:pPr>
            <w:r>
              <w:rPr>
                <w:rFonts w:hint="eastAsia"/>
                <w:color w:val="auto"/>
                <w:sz w:val="24"/>
              </w:rPr>
              <w:t>二、上年结转政府信息公开申请数量</w:t>
            </w:r>
          </w:p>
        </w:tc>
        <w:tc>
          <w:tcPr>
            <w:tcW w:w="581"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16"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85"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81"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restart"/>
            <w:tcBorders>
              <w:top w:val="nil"/>
            </w:tcBorders>
            <w:noWrap w:val="0"/>
            <w:vAlign w:val="center"/>
          </w:tcPr>
          <w:p>
            <w:pPr>
              <w:adjustRightInd w:val="0"/>
              <w:snapToGrid w:val="0"/>
              <w:jc w:val="center"/>
              <w:rPr>
                <w:color w:val="auto"/>
                <w:sz w:val="24"/>
              </w:rPr>
            </w:pPr>
            <w:r>
              <w:rPr>
                <w:rFonts w:hint="eastAsia"/>
                <w:color w:val="auto"/>
                <w:sz w:val="24"/>
              </w:rPr>
              <w:t>三、本年度办理结果</w:t>
            </w:r>
          </w:p>
        </w:tc>
        <w:tc>
          <w:tcPr>
            <w:tcW w:w="3217" w:type="dxa"/>
            <w:gridSpan w:val="2"/>
            <w:tcBorders>
              <w:left w:val="nil"/>
            </w:tcBorders>
            <w:noWrap w:val="0"/>
            <w:vAlign w:val="center"/>
          </w:tcPr>
          <w:p>
            <w:pPr>
              <w:adjustRightInd w:val="0"/>
              <w:snapToGrid w:val="0"/>
              <w:jc w:val="left"/>
              <w:rPr>
                <w:color w:val="auto"/>
                <w:sz w:val="24"/>
              </w:rPr>
            </w:pPr>
            <w:r>
              <w:rPr>
                <w:rFonts w:hint="eastAsia" w:hAnsi="楷体" w:cs="楷体"/>
                <w:color w:val="auto"/>
                <w:sz w:val="24"/>
              </w:rPr>
              <w:t>（一）予以公开</w:t>
            </w:r>
          </w:p>
        </w:tc>
        <w:tc>
          <w:tcPr>
            <w:tcW w:w="588" w:type="dxa"/>
            <w:gridSpan w:val="2"/>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27</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8</w:t>
            </w:r>
          </w:p>
        </w:tc>
        <w:tc>
          <w:tcPr>
            <w:tcW w:w="709" w:type="dxa"/>
            <w:tcBorders>
              <w:left w:val="nil"/>
            </w:tcBorders>
            <w:noWrap w:val="0"/>
            <w:vAlign w:val="center"/>
          </w:tcPr>
          <w:p>
            <w:pPr>
              <w:adjustRightInd w:val="0"/>
              <w:snapToGrid w:val="0"/>
              <w:jc w:val="center"/>
              <w:rPr>
                <w:rFonts w:hint="eastAsia" w:ascii="仿宋_GB2312" w:eastAsia="仿宋_GB2312"/>
                <w:color w:val="auto"/>
                <w:kern w:val="2"/>
                <w:sz w:val="24"/>
                <w:szCs w:val="32"/>
                <w:lang w:val="en-US" w:eastAsia="zh-CN" w:bidi="ar-SA"/>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rFonts w:hint="eastAsia" w:ascii="仿宋_GB2312" w:eastAsia="仿宋_GB2312"/>
                <w:color w:val="auto"/>
                <w:kern w:val="2"/>
                <w:sz w:val="24"/>
                <w:szCs w:val="32"/>
                <w:lang w:val="en-US" w:eastAsia="zh-CN" w:bidi="ar-SA"/>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rFonts w:hint="default"/>
                <w:color w:val="auto"/>
                <w:sz w:val="24"/>
                <w:lang w:val="en-US"/>
              </w:rPr>
            </w:pPr>
            <w:r>
              <w:rPr>
                <w:rFonts w:hint="eastAsia"/>
                <w:color w:val="auto"/>
                <w:sz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3217" w:type="dxa"/>
            <w:gridSpan w:val="2"/>
            <w:tcBorders>
              <w:left w:val="nil"/>
            </w:tcBorders>
            <w:noWrap w:val="0"/>
            <w:vAlign w:val="center"/>
          </w:tcPr>
          <w:p>
            <w:pPr>
              <w:adjustRightInd w:val="0"/>
              <w:snapToGrid w:val="0"/>
              <w:jc w:val="left"/>
              <w:rPr>
                <w:color w:val="auto"/>
                <w:sz w:val="24"/>
              </w:rPr>
            </w:pPr>
            <w:r>
              <w:rPr>
                <w:rFonts w:hint="eastAsia" w:hAnsi="楷体" w:cs="楷体"/>
                <w:color w:val="auto"/>
                <w:sz w:val="24"/>
              </w:rPr>
              <w:t>（二）部分公开（区分处理的，只计这一情形，不计其他情形）</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rFonts w:hint="eastAsia" w:ascii="仿宋_GB2312" w:eastAsia="仿宋_GB2312"/>
                <w:color w:val="auto"/>
                <w:kern w:val="2"/>
                <w:sz w:val="24"/>
                <w:szCs w:val="32"/>
                <w:lang w:val="en-US" w:eastAsia="zh-CN" w:bidi="ar-SA"/>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rFonts w:hint="eastAsia" w:ascii="仿宋_GB2312" w:eastAsia="仿宋_GB2312"/>
                <w:color w:val="auto"/>
                <w:kern w:val="2"/>
                <w:sz w:val="24"/>
                <w:szCs w:val="32"/>
                <w:lang w:val="en-US" w:eastAsia="zh-CN" w:bidi="ar-SA"/>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restart"/>
            <w:tcBorders>
              <w:top w:val="nil"/>
              <w:left w:val="nil"/>
            </w:tcBorders>
            <w:noWrap w:val="0"/>
            <w:vAlign w:val="center"/>
          </w:tcPr>
          <w:p>
            <w:pPr>
              <w:adjustRightInd w:val="0"/>
              <w:snapToGrid w:val="0"/>
              <w:jc w:val="left"/>
              <w:rPr>
                <w:rFonts w:hAnsi="楷体" w:cs="楷体"/>
                <w:color w:val="auto"/>
                <w:sz w:val="24"/>
              </w:rPr>
            </w:pPr>
            <w:r>
              <w:rPr>
                <w:rFonts w:hAnsi="楷体" w:cs="楷体"/>
                <w:color w:val="auto"/>
                <w:sz w:val="24"/>
              </w:rPr>
              <w:t>(</w:t>
            </w:r>
            <w:r>
              <w:rPr>
                <w:rFonts w:hint="eastAsia" w:hAnsi="楷体" w:cs="楷体"/>
                <w:color w:val="auto"/>
                <w:sz w:val="24"/>
              </w:rPr>
              <w:t>三</w:t>
            </w:r>
            <w:r>
              <w:rPr>
                <w:rFonts w:hAnsi="楷体" w:cs="楷体"/>
                <w:color w:val="auto"/>
                <w:sz w:val="24"/>
              </w:rPr>
              <w:t>)</w:t>
            </w:r>
          </w:p>
          <w:p>
            <w:pPr>
              <w:adjustRightInd w:val="0"/>
              <w:snapToGrid w:val="0"/>
              <w:jc w:val="left"/>
              <w:rPr>
                <w:color w:val="auto"/>
                <w:sz w:val="24"/>
              </w:rPr>
            </w:pPr>
            <w:r>
              <w:rPr>
                <w:rFonts w:hint="eastAsia" w:hAnsi="楷体" w:cs="楷体"/>
                <w:color w:val="auto"/>
                <w:sz w:val="24"/>
              </w:rPr>
              <w:t>不予公开</w:t>
            </w: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1.</w:t>
            </w:r>
            <w:r>
              <w:rPr>
                <w:rFonts w:hint="eastAsia" w:hAnsi="楷体" w:cs="楷体"/>
                <w:color w:val="auto"/>
                <w:sz w:val="24"/>
              </w:rPr>
              <w:t>属于国家秘密</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ascii="仿宋_GB2312" w:eastAsia="仿宋_GB2312"/>
                <w:color w:val="auto"/>
                <w:kern w:val="2"/>
                <w:sz w:val="24"/>
                <w:szCs w:val="32"/>
                <w:lang w:val="en-US" w:eastAsia="zh-CN" w:bidi="ar-SA"/>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rFonts w:hint="eastAsia" w:ascii="仿宋_GB2312" w:eastAsia="仿宋_GB2312"/>
                <w:color w:val="auto"/>
                <w:kern w:val="2"/>
                <w:sz w:val="24"/>
                <w:szCs w:val="32"/>
                <w:lang w:val="en-US" w:eastAsia="zh-CN" w:bidi="ar-SA"/>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2.</w:t>
            </w:r>
            <w:r>
              <w:rPr>
                <w:rFonts w:hint="eastAsia" w:hAnsi="楷体" w:cs="楷体"/>
                <w:color w:val="auto"/>
                <w:sz w:val="24"/>
              </w:rPr>
              <w:t>其他法律行政法规禁止公开</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rFonts w:hAnsi="楷体" w:cs="楷体"/>
                <w:color w:val="auto"/>
                <w:sz w:val="24"/>
              </w:rPr>
            </w:pPr>
            <w:r>
              <w:rPr>
                <w:rFonts w:hAnsi="楷体" w:cs="楷体"/>
                <w:color w:val="auto"/>
                <w:sz w:val="24"/>
              </w:rPr>
              <w:t>3.</w:t>
            </w:r>
            <w:r>
              <w:rPr>
                <w:rFonts w:hint="eastAsia" w:hAnsi="楷体" w:cs="楷体"/>
                <w:color w:val="auto"/>
                <w:sz w:val="24"/>
              </w:rPr>
              <w:t>危</w:t>
            </w:r>
            <w:r>
              <w:rPr>
                <w:rFonts w:hint="eastAsia" w:hAnsi="楷体" w:cs="楷体"/>
                <w:color w:val="auto"/>
                <w:spacing w:val="-16"/>
                <w:sz w:val="24"/>
              </w:rPr>
              <w:t>及“三安全一稳定”</w:t>
            </w:r>
          </w:p>
        </w:tc>
        <w:tc>
          <w:tcPr>
            <w:tcW w:w="588" w:type="dxa"/>
            <w:gridSpan w:val="2"/>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2</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4.</w:t>
            </w:r>
            <w:r>
              <w:rPr>
                <w:rFonts w:hint="eastAsia" w:hAnsi="楷体" w:cs="楷体"/>
                <w:color w:val="auto"/>
                <w:sz w:val="24"/>
              </w:rPr>
              <w:t>保</w:t>
            </w:r>
            <w:r>
              <w:rPr>
                <w:rFonts w:hint="eastAsia" w:hAnsi="楷体" w:cs="楷体"/>
                <w:color w:val="auto"/>
                <w:spacing w:val="-20"/>
                <w:sz w:val="24"/>
              </w:rPr>
              <w:t>护第三方合法权益</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1</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2</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5.</w:t>
            </w:r>
            <w:r>
              <w:rPr>
                <w:rFonts w:hint="eastAsia" w:hAnsi="楷体" w:cs="楷体"/>
                <w:color w:val="auto"/>
                <w:sz w:val="24"/>
              </w:rPr>
              <w:t>属于三类内部事务信息</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6.</w:t>
            </w:r>
            <w:r>
              <w:rPr>
                <w:rFonts w:hint="eastAsia" w:hAnsi="楷体" w:cs="楷体"/>
                <w:color w:val="auto"/>
                <w:sz w:val="24"/>
              </w:rPr>
              <w:t>属</w:t>
            </w:r>
            <w:r>
              <w:rPr>
                <w:rFonts w:hint="eastAsia" w:hAnsi="楷体" w:cs="楷体"/>
                <w:color w:val="auto"/>
                <w:spacing w:val="-18"/>
                <w:sz w:val="24"/>
              </w:rPr>
              <w:t>于四类过程性信息</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7.</w:t>
            </w:r>
            <w:r>
              <w:rPr>
                <w:rFonts w:hint="eastAsia" w:hAnsi="楷体" w:cs="楷体"/>
                <w:color w:val="auto"/>
                <w:sz w:val="24"/>
              </w:rPr>
              <w:t>属</w:t>
            </w:r>
            <w:r>
              <w:rPr>
                <w:rFonts w:hint="eastAsia" w:hAnsi="楷体" w:cs="楷体"/>
                <w:color w:val="auto"/>
                <w:spacing w:val="-16"/>
                <w:sz w:val="24"/>
              </w:rPr>
              <w:t>于行政执法案卷</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8.</w:t>
            </w:r>
            <w:r>
              <w:rPr>
                <w:rFonts w:hint="eastAsia" w:hAnsi="楷体" w:cs="楷体"/>
                <w:color w:val="auto"/>
                <w:sz w:val="24"/>
              </w:rPr>
              <w:t>属</w:t>
            </w:r>
            <w:r>
              <w:rPr>
                <w:rFonts w:hint="eastAsia" w:hAnsi="楷体" w:cs="楷体"/>
                <w:color w:val="auto"/>
                <w:spacing w:val="-16"/>
                <w:sz w:val="24"/>
              </w:rPr>
              <w:t>于行政查询事项</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restart"/>
            <w:tcBorders>
              <w:top w:val="nil"/>
              <w:left w:val="nil"/>
            </w:tcBorders>
            <w:noWrap w:val="0"/>
            <w:vAlign w:val="center"/>
          </w:tcPr>
          <w:p>
            <w:pPr>
              <w:adjustRightInd w:val="0"/>
              <w:snapToGrid w:val="0"/>
              <w:jc w:val="left"/>
              <w:rPr>
                <w:color w:val="auto"/>
                <w:sz w:val="24"/>
              </w:rPr>
            </w:pPr>
            <w:r>
              <w:rPr>
                <w:rFonts w:hAnsi="楷体" w:cs="楷体"/>
                <w:color w:val="auto"/>
                <w:sz w:val="24"/>
              </w:rPr>
              <w:t>(</w:t>
            </w:r>
            <w:r>
              <w:rPr>
                <w:rFonts w:hint="eastAsia" w:hAnsi="楷体" w:cs="楷体"/>
                <w:color w:val="auto"/>
                <w:sz w:val="24"/>
              </w:rPr>
              <w:t>四</w:t>
            </w:r>
            <w:r>
              <w:rPr>
                <w:rFonts w:hAnsi="楷体" w:cs="楷体"/>
                <w:color w:val="auto"/>
                <w:sz w:val="24"/>
              </w:rPr>
              <w:t>)</w:t>
            </w:r>
            <w:r>
              <w:rPr>
                <w:rFonts w:hint="eastAsia" w:hAnsi="楷体" w:cs="楷体"/>
                <w:color w:val="auto"/>
                <w:sz w:val="24"/>
              </w:rPr>
              <w:t>无法提供</w:t>
            </w: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1.</w:t>
            </w:r>
            <w:r>
              <w:rPr>
                <w:rFonts w:hint="eastAsia" w:hAnsi="楷体" w:cs="楷体"/>
                <w:color w:val="auto"/>
                <w:sz w:val="24"/>
              </w:rPr>
              <w:t>本机关不掌握相关政府信息</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6</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2</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2.</w:t>
            </w:r>
            <w:r>
              <w:rPr>
                <w:rFonts w:hint="eastAsia" w:hAnsi="楷体" w:cs="楷体"/>
                <w:color w:val="auto"/>
                <w:sz w:val="24"/>
              </w:rPr>
              <w:t>没有现成信息需要另行制作</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eastAsia="zh-CN"/>
              </w:rPr>
            </w:pPr>
            <w:r>
              <w:rPr>
                <w:rFonts w:hint="eastAsia"/>
                <w:color w:val="auto"/>
                <w:sz w:val="24"/>
                <w:lang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3.</w:t>
            </w:r>
            <w:r>
              <w:rPr>
                <w:rFonts w:hint="eastAsia" w:hAnsi="楷体" w:cs="楷体"/>
                <w:color w:val="auto"/>
                <w:sz w:val="24"/>
              </w:rPr>
              <w:t>补正后申请内容仍不明确</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restart"/>
            <w:tcBorders>
              <w:top w:val="nil"/>
              <w:left w:val="nil"/>
            </w:tcBorders>
            <w:noWrap w:val="0"/>
            <w:vAlign w:val="center"/>
          </w:tcPr>
          <w:p>
            <w:pPr>
              <w:adjustRightInd w:val="0"/>
              <w:snapToGrid w:val="0"/>
              <w:jc w:val="left"/>
              <w:rPr>
                <w:color w:val="auto"/>
                <w:sz w:val="24"/>
              </w:rPr>
            </w:pPr>
            <w:r>
              <w:rPr>
                <w:rFonts w:hAnsi="楷体" w:cs="楷体"/>
                <w:color w:val="auto"/>
                <w:sz w:val="24"/>
              </w:rPr>
              <w:t>(</w:t>
            </w:r>
            <w:r>
              <w:rPr>
                <w:rFonts w:hint="eastAsia" w:hAnsi="楷体" w:cs="楷体"/>
                <w:color w:val="auto"/>
                <w:sz w:val="24"/>
              </w:rPr>
              <w:t>五</w:t>
            </w:r>
            <w:r>
              <w:rPr>
                <w:rFonts w:hAnsi="楷体" w:cs="楷体"/>
                <w:color w:val="auto"/>
                <w:sz w:val="24"/>
              </w:rPr>
              <w:t>)</w:t>
            </w:r>
            <w:r>
              <w:rPr>
                <w:rFonts w:hint="eastAsia" w:hAnsi="楷体" w:cs="楷体"/>
                <w:color w:val="auto"/>
                <w:sz w:val="24"/>
              </w:rPr>
              <w:t>不予处理</w:t>
            </w: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1.</w:t>
            </w:r>
            <w:r>
              <w:rPr>
                <w:rFonts w:hint="eastAsia" w:hAnsi="楷体" w:cs="楷体"/>
                <w:color w:val="auto"/>
                <w:spacing w:val="-20"/>
                <w:sz w:val="24"/>
              </w:rPr>
              <w:t>信访举报投诉类申请</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2.</w:t>
            </w:r>
            <w:r>
              <w:rPr>
                <w:rFonts w:hint="eastAsia" w:hAnsi="楷体" w:cs="楷体"/>
                <w:color w:val="auto"/>
                <w:sz w:val="24"/>
              </w:rPr>
              <w:t>重复申请</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pacing w:val="-18"/>
                <w:sz w:val="24"/>
              </w:rPr>
            </w:pPr>
            <w:r>
              <w:rPr>
                <w:rFonts w:hAnsi="楷体" w:cs="楷体"/>
                <w:color w:val="auto"/>
                <w:spacing w:val="-18"/>
                <w:sz w:val="24"/>
              </w:rPr>
              <w:t>3.</w:t>
            </w:r>
            <w:r>
              <w:rPr>
                <w:rFonts w:hint="eastAsia" w:hAnsi="楷体" w:cs="楷体"/>
                <w:color w:val="auto"/>
                <w:spacing w:val="-18"/>
                <w:sz w:val="24"/>
              </w:rPr>
              <w:t>要求提供公开出版物</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4.</w:t>
            </w:r>
            <w:r>
              <w:rPr>
                <w:rFonts w:hint="eastAsia" w:hAnsi="楷体" w:cs="楷体"/>
                <w:color w:val="auto"/>
                <w:sz w:val="24"/>
              </w:rPr>
              <w:t>无正当理由大量反复申请</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688" w:type="dxa"/>
            <w:vMerge w:val="continue"/>
            <w:tcBorders>
              <w:top w:val="nil"/>
              <w:left w:val="nil"/>
            </w:tcBorders>
            <w:noWrap w:val="0"/>
            <w:vAlign w:val="center"/>
          </w:tcPr>
          <w:p>
            <w:pPr>
              <w:adjustRightInd w:val="0"/>
              <w:snapToGrid w:val="0"/>
              <w:jc w:val="left"/>
              <w:rPr>
                <w:rFonts w:hAnsi="宋体" w:cs="宋体"/>
                <w:color w:val="auto"/>
                <w:sz w:val="24"/>
              </w:rPr>
            </w:pPr>
          </w:p>
        </w:tc>
        <w:tc>
          <w:tcPr>
            <w:tcW w:w="2529" w:type="dxa"/>
            <w:tcBorders>
              <w:left w:val="nil"/>
            </w:tcBorders>
            <w:noWrap w:val="0"/>
            <w:vAlign w:val="center"/>
          </w:tcPr>
          <w:p>
            <w:pPr>
              <w:adjustRightInd w:val="0"/>
              <w:snapToGrid w:val="0"/>
              <w:ind w:left="-63" w:leftChars="-30" w:right="-63" w:rightChars="-30"/>
              <w:jc w:val="left"/>
              <w:rPr>
                <w:color w:val="auto"/>
                <w:sz w:val="24"/>
              </w:rPr>
            </w:pPr>
            <w:r>
              <w:rPr>
                <w:rFonts w:hAnsi="楷体" w:cs="楷体"/>
                <w:color w:val="auto"/>
                <w:sz w:val="24"/>
              </w:rPr>
              <w:t>5.</w:t>
            </w:r>
            <w:r>
              <w:rPr>
                <w:rFonts w:hint="eastAsia" w:hAnsi="楷体" w:cs="楷体"/>
                <w:color w:val="auto"/>
                <w:sz w:val="24"/>
              </w:rPr>
              <w:t>要</w:t>
            </w:r>
            <w:r>
              <w:rPr>
                <w:rFonts w:hint="eastAsia" w:hAnsi="楷体" w:cs="楷体"/>
                <w:color w:val="auto"/>
                <w:spacing w:val="-12"/>
                <w:sz w:val="24"/>
              </w:rPr>
              <w:t>求行政机关确认或重新出具已获取信息</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color w:val="auto"/>
                <w:sz w:val="24"/>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3217" w:type="dxa"/>
            <w:gridSpan w:val="2"/>
            <w:tcBorders>
              <w:left w:val="nil"/>
            </w:tcBorders>
            <w:noWrap w:val="0"/>
            <w:vAlign w:val="center"/>
          </w:tcPr>
          <w:p>
            <w:pPr>
              <w:adjustRightInd w:val="0"/>
              <w:snapToGrid w:val="0"/>
              <w:jc w:val="left"/>
              <w:rPr>
                <w:color w:val="auto"/>
                <w:sz w:val="24"/>
              </w:rPr>
            </w:pPr>
            <w:r>
              <w:rPr>
                <w:rFonts w:hint="eastAsia" w:hAnsi="楷体" w:cs="楷体"/>
                <w:color w:val="auto"/>
                <w:sz w:val="24"/>
              </w:rPr>
              <w:t>（六）其他处理</w:t>
            </w:r>
          </w:p>
        </w:tc>
        <w:tc>
          <w:tcPr>
            <w:tcW w:w="588"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09"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Merge w:val="continue"/>
            <w:tcBorders>
              <w:top w:val="nil"/>
            </w:tcBorders>
            <w:noWrap w:val="0"/>
            <w:vAlign w:val="center"/>
          </w:tcPr>
          <w:p>
            <w:pPr>
              <w:adjustRightInd w:val="0"/>
              <w:snapToGrid w:val="0"/>
              <w:jc w:val="left"/>
              <w:rPr>
                <w:rFonts w:hAnsi="宋体" w:cs="宋体"/>
                <w:color w:val="auto"/>
                <w:sz w:val="24"/>
              </w:rPr>
            </w:pPr>
          </w:p>
        </w:tc>
        <w:tc>
          <w:tcPr>
            <w:tcW w:w="3217" w:type="dxa"/>
            <w:gridSpan w:val="2"/>
            <w:tcBorders>
              <w:left w:val="nil"/>
            </w:tcBorders>
            <w:noWrap w:val="0"/>
            <w:vAlign w:val="center"/>
          </w:tcPr>
          <w:p>
            <w:pPr>
              <w:adjustRightInd w:val="0"/>
              <w:snapToGrid w:val="0"/>
              <w:jc w:val="left"/>
              <w:rPr>
                <w:color w:val="auto"/>
                <w:sz w:val="24"/>
              </w:rPr>
            </w:pPr>
            <w:r>
              <w:rPr>
                <w:rFonts w:hint="eastAsia" w:hAnsi="楷体" w:cs="楷体"/>
                <w:color w:val="auto"/>
                <w:sz w:val="24"/>
              </w:rPr>
              <w:t>（七）总计</w:t>
            </w:r>
          </w:p>
        </w:tc>
        <w:tc>
          <w:tcPr>
            <w:tcW w:w="588" w:type="dxa"/>
            <w:gridSpan w:val="2"/>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36</w:t>
            </w:r>
          </w:p>
        </w:tc>
        <w:tc>
          <w:tcPr>
            <w:tcW w:w="694" w:type="dxa"/>
            <w:gridSpan w:val="2"/>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12</w:t>
            </w:r>
          </w:p>
        </w:tc>
        <w:tc>
          <w:tcPr>
            <w:tcW w:w="709"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86"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80" w:type="dxa"/>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05" w:type="dxa"/>
            <w:gridSpan w:val="3"/>
            <w:noWrap w:val="0"/>
            <w:vAlign w:val="center"/>
          </w:tcPr>
          <w:p>
            <w:pPr>
              <w:adjustRightInd w:val="0"/>
              <w:snapToGrid w:val="0"/>
              <w:jc w:val="left"/>
              <w:rPr>
                <w:color w:val="auto"/>
                <w:sz w:val="24"/>
              </w:rPr>
            </w:pPr>
            <w:r>
              <w:rPr>
                <w:rFonts w:hint="eastAsia"/>
                <w:color w:val="auto"/>
                <w:sz w:val="24"/>
              </w:rPr>
              <w:t>四、结转下年度继续办理</w:t>
            </w:r>
          </w:p>
        </w:tc>
        <w:tc>
          <w:tcPr>
            <w:tcW w:w="581"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4"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716"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99"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885"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99" w:type="dxa"/>
            <w:gridSpan w:val="2"/>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81" w:type="dxa"/>
            <w:gridSpan w:val="2"/>
            <w:tcBorders>
              <w:left w:val="nil"/>
            </w:tcBorders>
            <w:noWrap w:val="0"/>
            <w:vAlign w:val="center"/>
          </w:tcPr>
          <w:p>
            <w:pPr>
              <w:adjustRightInd w:val="0"/>
              <w:snapToGrid w:val="0"/>
              <w:jc w:val="center"/>
              <w:rPr>
                <w:rFonts w:hint="eastAsia" w:hAnsi="宋体" w:eastAsia="仿宋_GB2312" w:cs="宋体"/>
                <w:color w:val="auto"/>
                <w:sz w:val="24"/>
                <w:lang w:val="en-US" w:eastAsia="zh-CN"/>
              </w:rPr>
            </w:pPr>
            <w:r>
              <w:rPr>
                <w:rFonts w:hint="eastAsia" w:hAnsi="宋体" w:cs="宋体"/>
                <w:color w:val="auto"/>
                <w:sz w:val="24"/>
                <w:lang w:val="en-US" w:eastAsia="zh-CN"/>
              </w:rPr>
              <w:t>0</w:t>
            </w:r>
          </w:p>
        </w:tc>
      </w:tr>
    </w:tbl>
    <w:p>
      <w:pPr>
        <w:pStyle w:val="2"/>
        <w:spacing w:line="560" w:lineRule="exact"/>
        <w:ind w:firstLine="640" w:firstLineChars="200"/>
        <w:jc w:val="both"/>
        <w:rPr>
          <w:rFonts w:ascii="黑体" w:hAnsi="黑体" w:eastAsia="黑体" w:cs="黑体"/>
          <w:bCs/>
          <w:color w:val="auto"/>
          <w:sz w:val="32"/>
          <w:szCs w:val="32"/>
        </w:rPr>
      </w:pPr>
      <w:r>
        <w:rPr>
          <w:rFonts w:hint="eastAsia" w:ascii="黑体" w:hAnsi="黑体" w:eastAsia="黑体" w:cs="黑体"/>
          <w:bCs/>
          <w:color w:val="auto"/>
          <w:sz w:val="32"/>
          <w:szCs w:val="32"/>
        </w:rPr>
        <w:t>四、政府信息公开行政复议、行政诉讼情况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49"/>
        <w:gridCol w:w="603"/>
        <w:gridCol w:w="603"/>
        <w:gridCol w:w="603"/>
        <w:gridCol w:w="607"/>
        <w:gridCol w:w="603"/>
        <w:gridCol w:w="603"/>
        <w:gridCol w:w="603"/>
        <w:gridCol w:w="605"/>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noWrap w:val="0"/>
            <w:vAlign w:val="center"/>
          </w:tcPr>
          <w:p>
            <w:pPr>
              <w:adjustRightInd w:val="0"/>
              <w:snapToGrid w:val="0"/>
              <w:jc w:val="center"/>
              <w:rPr>
                <w:rFonts w:eastAsia="黑体"/>
                <w:color w:val="auto"/>
                <w:sz w:val="24"/>
              </w:rPr>
            </w:pPr>
            <w:r>
              <w:rPr>
                <w:rFonts w:hint="eastAsia" w:eastAsia="黑体"/>
                <w:color w:val="auto"/>
                <w:sz w:val="24"/>
              </w:rPr>
              <w:t>行政复议</w:t>
            </w:r>
          </w:p>
        </w:tc>
        <w:tc>
          <w:tcPr>
            <w:tcW w:w="5986" w:type="dxa"/>
            <w:gridSpan w:val="10"/>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tcBorders>
            <w:noWrap w:val="0"/>
            <w:vAlign w:val="center"/>
          </w:tcPr>
          <w:p>
            <w:pPr>
              <w:adjustRightInd w:val="0"/>
              <w:snapToGrid w:val="0"/>
              <w:jc w:val="center"/>
              <w:rPr>
                <w:rFonts w:eastAsia="黑体"/>
                <w:color w:val="auto"/>
                <w:sz w:val="24"/>
              </w:rPr>
            </w:pPr>
            <w:r>
              <w:rPr>
                <w:rFonts w:hint="eastAsia" w:eastAsia="黑体"/>
                <w:color w:val="auto"/>
                <w:sz w:val="24"/>
              </w:rPr>
              <w:t>结果维持</w:t>
            </w:r>
          </w:p>
        </w:tc>
        <w:tc>
          <w:tcPr>
            <w:tcW w:w="604" w:type="dxa"/>
            <w:vMerge w:val="restart"/>
            <w:tcBorders>
              <w:top w:val="nil"/>
              <w:left w:val="nil"/>
            </w:tcBorders>
            <w:noWrap w:val="0"/>
            <w:vAlign w:val="center"/>
          </w:tcPr>
          <w:p>
            <w:pPr>
              <w:adjustRightInd w:val="0"/>
              <w:snapToGrid w:val="0"/>
              <w:jc w:val="center"/>
              <w:rPr>
                <w:rFonts w:eastAsia="黑体"/>
                <w:color w:val="auto"/>
                <w:sz w:val="24"/>
              </w:rPr>
            </w:pPr>
            <w:r>
              <w:rPr>
                <w:rFonts w:hint="eastAsia" w:eastAsia="黑体"/>
                <w:color w:val="auto"/>
                <w:sz w:val="24"/>
              </w:rPr>
              <w:t>结果纠正</w:t>
            </w:r>
          </w:p>
        </w:tc>
        <w:tc>
          <w:tcPr>
            <w:tcW w:w="604" w:type="dxa"/>
            <w:vMerge w:val="restart"/>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其他结果</w:t>
            </w:r>
          </w:p>
        </w:tc>
        <w:tc>
          <w:tcPr>
            <w:tcW w:w="604" w:type="dxa"/>
            <w:vMerge w:val="restart"/>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尚未审结</w:t>
            </w:r>
          </w:p>
        </w:tc>
        <w:tc>
          <w:tcPr>
            <w:tcW w:w="658" w:type="dxa"/>
            <w:vMerge w:val="restart"/>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总计</w:t>
            </w:r>
          </w:p>
        </w:tc>
        <w:tc>
          <w:tcPr>
            <w:tcW w:w="2965" w:type="dxa"/>
            <w:gridSpan w:val="5"/>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未经复议直接起诉</w:t>
            </w:r>
          </w:p>
        </w:tc>
        <w:tc>
          <w:tcPr>
            <w:tcW w:w="3021" w:type="dxa"/>
            <w:gridSpan w:val="5"/>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tcBorders>
            <w:noWrap w:val="0"/>
            <w:vAlign w:val="center"/>
          </w:tcPr>
          <w:p>
            <w:pPr>
              <w:adjustRightInd w:val="0"/>
              <w:snapToGrid w:val="0"/>
              <w:jc w:val="left"/>
              <w:rPr>
                <w:rFonts w:ascii="宋体" w:hAnsi="宋体" w:eastAsia="黑体" w:cs="宋体"/>
                <w:color w:val="auto"/>
                <w:sz w:val="24"/>
              </w:rPr>
            </w:pPr>
          </w:p>
        </w:tc>
        <w:tc>
          <w:tcPr>
            <w:tcW w:w="604" w:type="dxa"/>
            <w:vMerge w:val="continue"/>
            <w:tcBorders>
              <w:top w:val="nil"/>
              <w:left w:val="nil"/>
            </w:tcBorders>
            <w:noWrap w:val="0"/>
            <w:vAlign w:val="center"/>
          </w:tcPr>
          <w:p>
            <w:pPr>
              <w:adjustRightInd w:val="0"/>
              <w:snapToGrid w:val="0"/>
              <w:jc w:val="left"/>
              <w:rPr>
                <w:rFonts w:ascii="宋体" w:hAnsi="宋体" w:eastAsia="黑体" w:cs="宋体"/>
                <w:color w:val="auto"/>
                <w:sz w:val="24"/>
              </w:rPr>
            </w:pPr>
          </w:p>
        </w:tc>
        <w:tc>
          <w:tcPr>
            <w:tcW w:w="604" w:type="dxa"/>
            <w:vMerge w:val="continue"/>
            <w:tcBorders>
              <w:left w:val="nil"/>
            </w:tcBorders>
            <w:noWrap w:val="0"/>
            <w:vAlign w:val="center"/>
          </w:tcPr>
          <w:p>
            <w:pPr>
              <w:adjustRightInd w:val="0"/>
              <w:snapToGrid w:val="0"/>
              <w:jc w:val="left"/>
              <w:rPr>
                <w:rFonts w:ascii="宋体" w:hAnsi="宋体" w:eastAsia="黑体" w:cs="宋体"/>
                <w:color w:val="auto"/>
                <w:sz w:val="24"/>
              </w:rPr>
            </w:pPr>
          </w:p>
        </w:tc>
        <w:tc>
          <w:tcPr>
            <w:tcW w:w="604" w:type="dxa"/>
            <w:vMerge w:val="continue"/>
            <w:tcBorders>
              <w:left w:val="nil"/>
            </w:tcBorders>
            <w:noWrap w:val="0"/>
            <w:vAlign w:val="center"/>
          </w:tcPr>
          <w:p>
            <w:pPr>
              <w:adjustRightInd w:val="0"/>
              <w:snapToGrid w:val="0"/>
              <w:jc w:val="left"/>
              <w:rPr>
                <w:rFonts w:ascii="宋体" w:hAnsi="宋体" w:eastAsia="黑体" w:cs="宋体"/>
                <w:color w:val="auto"/>
                <w:sz w:val="24"/>
              </w:rPr>
            </w:pPr>
          </w:p>
        </w:tc>
        <w:tc>
          <w:tcPr>
            <w:tcW w:w="658" w:type="dxa"/>
            <w:vMerge w:val="continue"/>
            <w:tcBorders>
              <w:left w:val="nil"/>
            </w:tcBorders>
            <w:noWrap w:val="0"/>
            <w:vAlign w:val="center"/>
          </w:tcPr>
          <w:p>
            <w:pPr>
              <w:adjustRightInd w:val="0"/>
              <w:snapToGrid w:val="0"/>
              <w:jc w:val="left"/>
              <w:rPr>
                <w:rFonts w:ascii="宋体" w:hAnsi="宋体" w:eastAsia="黑体" w:cs="宋体"/>
                <w:color w:val="auto"/>
                <w:sz w:val="24"/>
              </w:rPr>
            </w:pPr>
          </w:p>
        </w:tc>
        <w:tc>
          <w:tcPr>
            <w:tcW w:w="549" w:type="dxa"/>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结果维持</w:t>
            </w:r>
          </w:p>
        </w:tc>
        <w:tc>
          <w:tcPr>
            <w:tcW w:w="603" w:type="dxa"/>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结果纠正</w:t>
            </w:r>
          </w:p>
        </w:tc>
        <w:tc>
          <w:tcPr>
            <w:tcW w:w="603" w:type="dxa"/>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其他结果</w:t>
            </w:r>
          </w:p>
        </w:tc>
        <w:tc>
          <w:tcPr>
            <w:tcW w:w="603" w:type="dxa"/>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尚未审结</w:t>
            </w:r>
          </w:p>
        </w:tc>
        <w:tc>
          <w:tcPr>
            <w:tcW w:w="607" w:type="dxa"/>
            <w:tcBorders>
              <w:left w:val="nil"/>
            </w:tcBorders>
            <w:noWrap w:val="0"/>
            <w:vAlign w:val="center"/>
          </w:tcPr>
          <w:p>
            <w:pPr>
              <w:adjustRightInd w:val="0"/>
              <w:snapToGrid w:val="0"/>
              <w:jc w:val="center"/>
              <w:rPr>
                <w:rFonts w:eastAsia="黑体"/>
                <w:color w:val="auto"/>
                <w:sz w:val="24"/>
              </w:rPr>
            </w:pPr>
            <w:r>
              <w:rPr>
                <w:rFonts w:hint="eastAsia" w:ascii="宋体" w:hAnsi="宋体" w:eastAsia="黑体" w:cs="宋体"/>
                <w:color w:val="auto"/>
                <w:kern w:val="0"/>
                <w:sz w:val="24"/>
              </w:rPr>
              <w:t>总计</w:t>
            </w:r>
          </w:p>
        </w:tc>
        <w:tc>
          <w:tcPr>
            <w:tcW w:w="603" w:type="dxa"/>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结果维持</w:t>
            </w:r>
          </w:p>
        </w:tc>
        <w:tc>
          <w:tcPr>
            <w:tcW w:w="603" w:type="dxa"/>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结果纠正</w:t>
            </w:r>
          </w:p>
        </w:tc>
        <w:tc>
          <w:tcPr>
            <w:tcW w:w="603" w:type="dxa"/>
            <w:tcBorders>
              <w:left w:val="nil"/>
            </w:tcBorders>
            <w:noWrap w:val="0"/>
            <w:vAlign w:val="center"/>
          </w:tcPr>
          <w:p>
            <w:pPr>
              <w:adjustRightInd w:val="0"/>
              <w:snapToGrid w:val="0"/>
              <w:jc w:val="center"/>
              <w:rPr>
                <w:rFonts w:eastAsia="黑体"/>
                <w:color w:val="auto"/>
                <w:sz w:val="24"/>
              </w:rPr>
            </w:pPr>
            <w:r>
              <w:rPr>
                <w:rFonts w:hint="eastAsia" w:ascii="宋体" w:hAnsi="宋体" w:eastAsia="黑体" w:cs="宋体"/>
                <w:color w:val="auto"/>
                <w:kern w:val="0"/>
                <w:sz w:val="24"/>
              </w:rPr>
              <w:t>其他结果</w:t>
            </w:r>
          </w:p>
        </w:tc>
        <w:tc>
          <w:tcPr>
            <w:tcW w:w="605" w:type="dxa"/>
            <w:tcBorders>
              <w:left w:val="nil"/>
            </w:tcBorders>
            <w:noWrap w:val="0"/>
            <w:vAlign w:val="center"/>
          </w:tcPr>
          <w:p>
            <w:pPr>
              <w:adjustRightInd w:val="0"/>
              <w:snapToGrid w:val="0"/>
              <w:jc w:val="center"/>
              <w:rPr>
                <w:rFonts w:eastAsia="黑体"/>
                <w:color w:val="auto"/>
                <w:sz w:val="24"/>
              </w:rPr>
            </w:pPr>
            <w:r>
              <w:rPr>
                <w:rFonts w:hint="eastAsia" w:eastAsia="黑体"/>
                <w:color w:val="auto"/>
                <w:sz w:val="24"/>
              </w:rPr>
              <w:t>尚未审结</w:t>
            </w:r>
          </w:p>
        </w:tc>
        <w:tc>
          <w:tcPr>
            <w:tcW w:w="607" w:type="dxa"/>
            <w:tcBorders>
              <w:left w:val="nil"/>
            </w:tcBorders>
            <w:noWrap w:val="0"/>
            <w:vAlign w:val="center"/>
          </w:tcPr>
          <w:p>
            <w:pPr>
              <w:adjustRightInd w:val="0"/>
              <w:snapToGrid w:val="0"/>
              <w:jc w:val="center"/>
              <w:rPr>
                <w:rFonts w:eastAsia="黑体"/>
                <w:color w:val="auto"/>
                <w:sz w:val="24"/>
              </w:rPr>
            </w:pPr>
            <w:r>
              <w:rPr>
                <w:rFonts w:hint="eastAsia" w:ascii="宋体" w:hAnsi="宋体" w:eastAsia="黑体" w:cs="宋体"/>
                <w:color w:val="auto"/>
                <w:kern w:val="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604" w:type="dxa"/>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4"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1</w:t>
            </w:r>
          </w:p>
        </w:tc>
        <w:tc>
          <w:tcPr>
            <w:tcW w:w="604"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1</w:t>
            </w:r>
          </w:p>
        </w:tc>
        <w:tc>
          <w:tcPr>
            <w:tcW w:w="604" w:type="dxa"/>
            <w:tcBorders>
              <w:left w:val="nil"/>
            </w:tcBorders>
            <w:noWrap w:val="0"/>
            <w:vAlign w:val="center"/>
          </w:tcPr>
          <w:p>
            <w:pPr>
              <w:adjustRightInd w:val="0"/>
              <w:snapToGrid w:val="0"/>
              <w:jc w:val="center"/>
              <w:rPr>
                <w:rFonts w:hint="default" w:eastAsia="仿宋_GB2312"/>
                <w:color w:val="auto"/>
                <w:sz w:val="24"/>
                <w:lang w:val="en-US" w:eastAsia="zh-CN"/>
              </w:rPr>
            </w:pPr>
            <w:r>
              <w:rPr>
                <w:rFonts w:hint="eastAsia"/>
                <w:color w:val="auto"/>
                <w:sz w:val="24"/>
                <w:lang w:val="en-US" w:eastAsia="zh-CN"/>
              </w:rPr>
              <w:t>0</w:t>
            </w:r>
          </w:p>
        </w:tc>
        <w:tc>
          <w:tcPr>
            <w:tcW w:w="658"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2</w:t>
            </w:r>
          </w:p>
        </w:tc>
        <w:tc>
          <w:tcPr>
            <w:tcW w:w="549"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3"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3"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3"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7"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3"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3"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3"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5" w:type="dxa"/>
            <w:tcBorders>
              <w:left w:val="nil"/>
            </w:tcBorders>
            <w:noWrap w:val="0"/>
            <w:vAlign w:val="center"/>
          </w:tcPr>
          <w:p>
            <w:pPr>
              <w:adjustRightInd w:val="0"/>
              <w:snapToGrid w:val="0"/>
              <w:jc w:val="center"/>
              <w:rPr>
                <w:rFonts w:hint="eastAsia" w:eastAsia="仿宋_GB2312"/>
                <w:color w:val="auto"/>
                <w:sz w:val="24"/>
                <w:lang w:val="en-US" w:eastAsia="zh-CN"/>
              </w:rPr>
            </w:pPr>
            <w:r>
              <w:rPr>
                <w:rFonts w:hint="eastAsia"/>
                <w:color w:val="auto"/>
                <w:sz w:val="24"/>
                <w:lang w:val="en-US" w:eastAsia="zh-CN"/>
              </w:rPr>
              <w:t>0</w:t>
            </w:r>
          </w:p>
        </w:tc>
        <w:tc>
          <w:tcPr>
            <w:tcW w:w="607" w:type="dxa"/>
            <w:tcBorders>
              <w:left w:val="nil"/>
            </w:tcBorders>
            <w:noWrap w:val="0"/>
            <w:vAlign w:val="center"/>
          </w:tcPr>
          <w:p>
            <w:pPr>
              <w:adjustRightInd w:val="0"/>
              <w:snapToGrid w:val="0"/>
              <w:jc w:val="left"/>
              <w:rPr>
                <w:rFonts w:hint="eastAsia" w:ascii="宋体" w:eastAsia="仿宋_GB2312" w:cs="宋体"/>
                <w:color w:val="auto"/>
                <w:sz w:val="24"/>
                <w:lang w:val="en-US" w:eastAsia="zh-CN"/>
              </w:rPr>
            </w:pPr>
            <w:r>
              <w:rPr>
                <w:rFonts w:hint="eastAsia" w:ascii="宋体" w:cs="宋体"/>
                <w:color w:val="auto"/>
                <w:sz w:val="24"/>
                <w:lang w:val="en-US" w:eastAsia="zh-CN"/>
              </w:rPr>
              <w:t>0</w:t>
            </w:r>
          </w:p>
        </w:tc>
      </w:tr>
    </w:tbl>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outlineLvl w:val="9"/>
        <w:rPr>
          <w:rFonts w:ascii="黑体" w:hAnsi="黑体" w:eastAsia="黑体" w:cs="黑体"/>
          <w:bCs/>
          <w:color w:val="auto"/>
          <w:kern w:val="32"/>
          <w:sz w:val="32"/>
          <w:szCs w:val="32"/>
        </w:rPr>
      </w:pPr>
      <w:r>
        <w:rPr>
          <w:rFonts w:hint="eastAsia" w:ascii="黑体" w:hAnsi="黑体" w:eastAsia="黑体" w:cs="黑体"/>
          <w:bCs/>
          <w:color w:val="auto"/>
          <w:kern w:val="32"/>
          <w:sz w:val="32"/>
          <w:szCs w:val="32"/>
        </w:rPr>
        <w:t>五、存在问题及改进情况</w:t>
      </w:r>
    </w:p>
    <w:p>
      <w:pPr>
        <w:ind w:firstLine="620" w:firstLineChars="200"/>
        <w:rPr>
          <w:rFonts w:hint="eastAsia"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目前，我</w:t>
      </w:r>
      <w:r>
        <w:rPr>
          <w:rFonts w:hint="eastAsia" w:ascii="仿宋_GB2312" w:hAnsi="宋体" w:eastAsia="仿宋_GB2312" w:cs="仿宋_GB2312"/>
          <w:i w:val="0"/>
          <w:caps w:val="0"/>
          <w:color w:val="auto"/>
          <w:spacing w:val="0"/>
          <w:sz w:val="31"/>
          <w:szCs w:val="31"/>
          <w:lang w:eastAsia="zh-CN"/>
        </w:rPr>
        <w:t>区</w:t>
      </w:r>
      <w:r>
        <w:rPr>
          <w:rFonts w:hint="eastAsia" w:ascii="仿宋_GB2312" w:hAnsi="宋体" w:eastAsia="仿宋_GB2312" w:cs="仿宋_GB2312"/>
          <w:i w:val="0"/>
          <w:caps w:val="0"/>
          <w:color w:val="auto"/>
          <w:spacing w:val="0"/>
          <w:sz w:val="31"/>
          <w:szCs w:val="31"/>
        </w:rPr>
        <w:t>政务公开工作主要存在两个方面问题：一是主动公开意识有待提高，部分部门单位对政务公开工作重视程度不足，主动公开的政府信息较少，与公众的需求还存在一定的距离。二是公开渠道</w:t>
      </w:r>
      <w:r>
        <w:rPr>
          <w:rFonts w:hint="eastAsia" w:ascii="仿宋_GB2312" w:hAnsi="宋体" w:eastAsia="仿宋_GB2312" w:cs="仿宋_GB2312"/>
          <w:i w:val="0"/>
          <w:caps w:val="0"/>
          <w:color w:val="auto"/>
          <w:spacing w:val="0"/>
          <w:sz w:val="31"/>
          <w:szCs w:val="31"/>
          <w:lang w:eastAsia="zh-CN"/>
        </w:rPr>
        <w:t>和解读模式</w:t>
      </w:r>
      <w:r>
        <w:rPr>
          <w:rFonts w:hint="eastAsia" w:ascii="仿宋_GB2312" w:hAnsi="宋体" w:eastAsia="仿宋_GB2312" w:cs="仿宋_GB2312"/>
          <w:i w:val="0"/>
          <w:caps w:val="0"/>
          <w:color w:val="auto"/>
          <w:spacing w:val="0"/>
          <w:sz w:val="31"/>
          <w:szCs w:val="31"/>
        </w:rPr>
        <w:t>不够多样，</w:t>
      </w:r>
      <w:r>
        <w:rPr>
          <w:rFonts w:hint="eastAsia" w:ascii="仿宋_GB2312" w:hAnsi="宋体" w:eastAsia="仿宋_GB2312" w:cs="仿宋_GB2312"/>
          <w:i w:val="0"/>
          <w:caps w:val="0"/>
          <w:color w:val="auto"/>
          <w:spacing w:val="0"/>
          <w:sz w:val="31"/>
          <w:szCs w:val="31"/>
          <w:lang w:eastAsia="zh-CN"/>
        </w:rPr>
        <w:t>解读</w:t>
      </w:r>
      <w:r>
        <w:rPr>
          <w:rFonts w:hint="eastAsia" w:ascii="仿宋_GB2312" w:hAnsi="宋体" w:eastAsia="仿宋_GB2312" w:cs="仿宋_GB2312"/>
          <w:i w:val="0"/>
          <w:caps w:val="0"/>
          <w:color w:val="auto"/>
          <w:spacing w:val="0"/>
          <w:sz w:val="31"/>
          <w:szCs w:val="31"/>
        </w:rPr>
        <w:t>形式还需要进一步丰富，公开广度还需要进一步拓展。</w:t>
      </w:r>
    </w:p>
    <w:p>
      <w:pPr>
        <w:ind w:firstLine="620" w:firstLineChars="200"/>
        <w:rPr>
          <w:rFonts w:hint="default" w:ascii="仿宋_GB2312" w:hAnsi="宋体" w:eastAsia="仿宋_GB2312" w:cs="仿宋_GB2312"/>
          <w:i w:val="0"/>
          <w:caps w:val="0"/>
          <w:color w:val="auto"/>
          <w:spacing w:val="0"/>
          <w:sz w:val="31"/>
          <w:szCs w:val="31"/>
        </w:rPr>
      </w:pPr>
      <w:r>
        <w:rPr>
          <w:rFonts w:hint="eastAsia" w:ascii="仿宋_GB2312" w:hAnsi="宋体" w:eastAsia="仿宋_GB2312" w:cs="仿宋_GB2312"/>
          <w:i w:val="0"/>
          <w:caps w:val="0"/>
          <w:color w:val="auto"/>
          <w:spacing w:val="0"/>
          <w:sz w:val="31"/>
          <w:szCs w:val="31"/>
        </w:rPr>
        <w:t>下步，</w:t>
      </w:r>
      <w:r>
        <w:rPr>
          <w:rFonts w:hint="eastAsia" w:ascii="仿宋_GB2312" w:hAnsi="宋体" w:eastAsia="仿宋_GB2312" w:cs="仿宋_GB2312"/>
          <w:i w:val="0"/>
          <w:caps w:val="0"/>
          <w:color w:val="auto"/>
          <w:spacing w:val="0"/>
          <w:sz w:val="31"/>
          <w:szCs w:val="31"/>
          <w:lang w:eastAsia="zh-CN"/>
        </w:rPr>
        <w:t>需</w:t>
      </w:r>
      <w:r>
        <w:rPr>
          <w:rFonts w:hint="eastAsia" w:ascii="仿宋_GB2312" w:hAnsi="宋体" w:eastAsia="仿宋_GB2312" w:cs="仿宋_GB2312"/>
          <w:i w:val="0"/>
          <w:caps w:val="0"/>
          <w:color w:val="auto"/>
          <w:spacing w:val="0"/>
          <w:sz w:val="31"/>
          <w:szCs w:val="31"/>
        </w:rPr>
        <w:t>重点做好以下几个方面工作:一是加强业务培训，不断提高政务公开工作人员对政务公开工作重要性的认识和工作能力水平。二是丰富信息发布</w:t>
      </w:r>
      <w:r>
        <w:rPr>
          <w:rFonts w:hint="eastAsia" w:ascii="仿宋_GB2312" w:hAnsi="宋体" w:eastAsia="仿宋_GB2312" w:cs="仿宋_GB2312"/>
          <w:i w:val="0"/>
          <w:caps w:val="0"/>
          <w:color w:val="auto"/>
          <w:spacing w:val="0"/>
          <w:sz w:val="31"/>
          <w:szCs w:val="31"/>
          <w:lang w:eastAsia="zh-CN"/>
        </w:rPr>
        <w:t>和</w:t>
      </w:r>
      <w:r>
        <w:rPr>
          <w:rFonts w:hint="eastAsia" w:ascii="仿宋_GB2312" w:hAnsi="宋体" w:eastAsia="仿宋_GB2312" w:cs="仿宋_GB2312"/>
          <w:i w:val="0"/>
          <w:caps w:val="0"/>
          <w:color w:val="auto"/>
          <w:spacing w:val="0"/>
          <w:sz w:val="31"/>
          <w:szCs w:val="31"/>
        </w:rPr>
        <w:t>解读形式。</w:t>
      </w:r>
      <w:r>
        <w:rPr>
          <w:rFonts w:hint="eastAsia" w:ascii="仿宋_GB2312" w:hAnsi="宋体" w:eastAsia="仿宋_GB2312" w:cs="仿宋_GB2312"/>
          <w:i w:val="0"/>
          <w:caps w:val="0"/>
          <w:color w:val="auto"/>
          <w:spacing w:val="0"/>
          <w:sz w:val="31"/>
          <w:szCs w:val="31"/>
          <w:lang w:eastAsia="zh-CN"/>
        </w:rPr>
        <w:t>着力打造在线访谈栏目</w:t>
      </w:r>
      <w:r>
        <w:rPr>
          <w:rFonts w:hint="eastAsia" w:ascii="仿宋_GB2312" w:hAnsi="宋体" w:eastAsia="仿宋_GB2312" w:cs="仿宋_GB2312"/>
          <w:i w:val="0"/>
          <w:caps w:val="0"/>
          <w:color w:val="auto"/>
          <w:spacing w:val="0"/>
          <w:sz w:val="31"/>
          <w:szCs w:val="31"/>
        </w:rPr>
        <w:t>，由部门负责同志在线为</w:t>
      </w:r>
      <w:r>
        <w:rPr>
          <w:rFonts w:hint="eastAsia" w:ascii="仿宋_GB2312" w:hAnsi="宋体" w:eastAsia="仿宋_GB2312" w:cs="仿宋_GB2312"/>
          <w:i w:val="0"/>
          <w:caps w:val="0"/>
          <w:color w:val="auto"/>
          <w:spacing w:val="0"/>
          <w:sz w:val="31"/>
          <w:szCs w:val="31"/>
          <w:lang w:eastAsia="zh-CN"/>
        </w:rPr>
        <w:t>群众</w:t>
      </w:r>
      <w:r>
        <w:rPr>
          <w:rFonts w:hint="eastAsia" w:ascii="仿宋_GB2312" w:hAnsi="宋体" w:eastAsia="仿宋_GB2312" w:cs="仿宋_GB2312"/>
          <w:i w:val="0"/>
          <w:caps w:val="0"/>
          <w:color w:val="auto"/>
          <w:spacing w:val="0"/>
          <w:sz w:val="31"/>
          <w:szCs w:val="31"/>
        </w:rPr>
        <w:t>解读政策、回应关切、答疑解惑，</w:t>
      </w:r>
      <w:r>
        <w:rPr>
          <w:rFonts w:hint="eastAsia" w:ascii="仿宋_GB2312" w:hAnsi="宋体" w:eastAsia="仿宋_GB2312" w:cs="仿宋_GB2312"/>
          <w:i w:val="0"/>
          <w:caps w:val="0"/>
          <w:color w:val="auto"/>
          <w:spacing w:val="0"/>
          <w:sz w:val="31"/>
          <w:szCs w:val="31"/>
          <w:lang w:eastAsia="zh-CN"/>
        </w:rPr>
        <w:t>拉近政府与百姓之间的距离</w:t>
      </w:r>
      <w:r>
        <w:rPr>
          <w:rFonts w:hint="eastAsia" w:ascii="仿宋_GB2312" w:hAnsi="宋体" w:eastAsia="仿宋_GB2312" w:cs="仿宋_GB2312"/>
          <w:i w:val="0"/>
          <w:caps w:val="0"/>
          <w:color w:val="auto"/>
          <w:spacing w:val="0"/>
          <w:sz w:val="31"/>
          <w:szCs w:val="31"/>
        </w:rPr>
        <w:t>。</w:t>
      </w:r>
    </w:p>
    <w:p>
      <w:pPr>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六、其他需要报告的事项</w:t>
      </w:r>
    </w:p>
    <w:p>
      <w:pPr>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无。</w:t>
      </w:r>
    </w:p>
    <w:p>
      <w:pPr>
        <w:rPr>
          <w:rFonts w:hint="default" w:ascii="Times New Roman" w:hAnsi="Times New Roman" w:cs="Times New Roman"/>
          <w:color w:val="auto"/>
        </w:rPr>
      </w:pPr>
    </w:p>
    <w:p>
      <w:pPr>
        <w:spacing w:line="560" w:lineRule="exact"/>
        <w:rPr>
          <w:rFonts w:hint="default" w:ascii="Times New Roman" w:hAnsi="Times New Roman" w:eastAsia="仿宋_GB2312" w:cs="Times New Roman"/>
          <w:color w:val="auto"/>
          <w:sz w:val="32"/>
          <w:szCs w:val="32"/>
        </w:rPr>
      </w:pPr>
    </w:p>
    <w:p>
      <w:pPr>
        <w:spacing w:line="560" w:lineRule="exact"/>
        <w:ind w:firstLine="640" w:firstLineChars="200"/>
        <w:jc w:val="righ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牟平区人民政府办公室</w:t>
      </w:r>
    </w:p>
    <w:p>
      <w:pPr>
        <w:wordWrap w:val="0"/>
        <w:spacing w:line="560" w:lineRule="exact"/>
        <w:ind w:firstLine="640" w:firstLineChars="20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21</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 xml:space="preserve">日 </w:t>
      </w:r>
      <w:r>
        <w:rPr>
          <w:rFonts w:hint="default" w:ascii="Times New Roman" w:hAnsi="Times New Roman" w:eastAsia="仿宋_GB2312" w:cs="Times New Roman"/>
          <w:color w:val="auto"/>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5C8879"/>
    <w:multiLevelType w:val="singleLevel"/>
    <w:tmpl w:val="AB5C88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E7A6E"/>
    <w:rsid w:val="270548E1"/>
    <w:rsid w:val="2EAD6FA1"/>
    <w:rsid w:val="433E7373"/>
    <w:rsid w:val="4F161024"/>
    <w:rsid w:val="5C8E7A6E"/>
    <w:rsid w:val="60CC6F6E"/>
    <w:rsid w:val="69C81B53"/>
    <w:rsid w:val="73AF16B8"/>
    <w:rsid w:val="773C2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chart" Target="charts/chart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t>2020年依申请公开情况统计表</a:t>
            </a:r>
          </a:p>
        </c:rich>
      </c:tx>
      <c:layout/>
      <c:overlay val="0"/>
      <c:spPr>
        <a:noFill/>
        <a:ln>
          <a:noFill/>
        </a:ln>
        <a:effectLst/>
      </c:spPr>
    </c:title>
    <c:autoTitleDeleted val="0"/>
    <c:plotArea>
      <c:layout/>
      <c:pieChart>
        <c:varyColors val="1"/>
        <c:ser>
          <c:idx val="0"/>
          <c:order val="0"/>
          <c:tx>
            <c:strRef>
              <c:f>Sheet1!$B$1</c:f>
              <c:strCache>
                <c:ptCount val="1"/>
                <c:pt idx="0">
                  <c:v>办件数量</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Sheet1!$A$2:$A$4</c:f>
              <c:strCache>
                <c:ptCount val="3"/>
                <c:pt idx="0">
                  <c:v>予以公开</c:v>
                </c:pt>
                <c:pt idx="1">
                  <c:v>不予公开</c:v>
                </c:pt>
                <c:pt idx="2">
                  <c:v>无法提供</c:v>
                </c:pt>
              </c:strCache>
            </c:strRef>
          </c:cat>
          <c:val>
            <c:numRef>
              <c:f>Sheet1!$B$2:$B$4</c:f>
              <c:numCache>
                <c:formatCode>0%</c:formatCode>
                <c:ptCount val="3"/>
                <c:pt idx="0">
                  <c:v>0.73</c:v>
                </c:pt>
                <c:pt idx="1" c:formatCode="0.00%">
                  <c:v>0.104</c:v>
                </c:pt>
                <c:pt idx="2" c:formatCode="0.00%">
                  <c:v>0.166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68875"/>
          <c:y val="0.381833333333333"/>
          <c:w val="0.216125"/>
          <c:h val="0.232833333333333"/>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2540</Words>
  <Characters>2662</Characters>
  <Lines>0</Lines>
  <Paragraphs>0</Paragraphs>
  <TotalTime>181</TotalTime>
  <ScaleCrop>false</ScaleCrop>
  <LinksUpToDate>false</LinksUpToDate>
  <CharactersWithSpaces>2668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2020-03-05T09:24:00Z</dcterms:created>
  <dc:creator>墨</dc:creator>
  <cp:lastModifiedBy>墨</cp:lastModifiedBy>
  <dcterms:modified xsi:type="dcterms:W3CDTF">2021-03-22T07:33:28Z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